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74" w:rsidRPr="005B1D57" w:rsidRDefault="00346A74" w:rsidP="00346A74">
      <w:pPr>
        <w:spacing w:after="0"/>
        <w:rPr>
          <w:sz w:val="24"/>
          <w:szCs w:val="24"/>
          <w:u w:val="single"/>
        </w:rPr>
      </w:pPr>
      <w:r w:rsidRPr="00290516">
        <w:rPr>
          <w:rFonts w:ascii="Times New Roman" w:hAnsi="Times New Roman" w:cs="Times New Roman"/>
          <w:b/>
          <w:sz w:val="26"/>
          <w:szCs w:val="26"/>
          <w:u w:val="single"/>
        </w:rPr>
        <w:t>Hlavička plánu</w:t>
      </w:r>
      <w:r w:rsidRPr="005B1D57">
        <w:rPr>
          <w:sz w:val="24"/>
          <w:szCs w:val="24"/>
          <w:u w:val="single"/>
        </w:rPr>
        <w:t xml:space="preserve"> </w:t>
      </w:r>
    </w:p>
    <w:p w:rsidR="00346A74" w:rsidRPr="0063130D" w:rsidRDefault="00346A74" w:rsidP="00346A74">
      <w:pPr>
        <w:spacing w:after="0"/>
        <w:rPr>
          <w:sz w:val="24"/>
          <w:szCs w:val="24"/>
        </w:rPr>
      </w:pPr>
    </w:p>
    <w:p w:rsidR="00346A74" w:rsidRPr="0063130D" w:rsidRDefault="00346A74" w:rsidP="00346A74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CABCCB4" wp14:editId="15D9093C">
            <wp:extent cx="5760720" cy="246126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74" w:rsidRPr="00290516" w:rsidRDefault="00346A74" w:rsidP="00346A74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 w:rsidRPr="00290516">
        <w:rPr>
          <w:rFonts w:ascii="Times New Roman" w:hAnsi="Times New Roman" w:cs="Times New Roman"/>
          <w:b/>
          <w:sz w:val="24"/>
          <w:szCs w:val="24"/>
        </w:rPr>
        <w:t>2. Název studijního plánu</w:t>
      </w:r>
      <w:r w:rsidRPr="00290516">
        <w:rPr>
          <w:rFonts w:ascii="Times New Roman" w:hAnsi="Times New Roman" w:cs="Times New Roman"/>
          <w:sz w:val="24"/>
          <w:szCs w:val="24"/>
        </w:rPr>
        <w:t xml:space="preserve"> se generuje automaticky.</w:t>
      </w:r>
    </w:p>
    <w:p w:rsidR="00346A74" w:rsidRPr="00290516" w:rsidRDefault="00346A74" w:rsidP="00346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516">
        <w:rPr>
          <w:rFonts w:ascii="Times New Roman" w:hAnsi="Times New Roman" w:cs="Times New Roman"/>
          <w:sz w:val="24"/>
          <w:szCs w:val="24"/>
        </w:rPr>
        <w:t>Každý studijní plán má typizovaný název, který obsahuje základní údaje: formu, jazyk výuky, příp. specializaci, sdružené studium ev. instituci.</w:t>
      </w:r>
    </w:p>
    <w:p w:rsidR="00346A74" w:rsidRPr="00290516" w:rsidRDefault="00346A74" w:rsidP="00346A74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 w:rsidRPr="00290516">
        <w:rPr>
          <w:rFonts w:ascii="Times New Roman" w:hAnsi="Times New Roman" w:cs="Times New Roman"/>
          <w:b/>
          <w:sz w:val="24"/>
          <w:szCs w:val="24"/>
        </w:rPr>
        <w:t>3. Pracovní označení plánu</w:t>
      </w:r>
      <w:r w:rsidRPr="00290516">
        <w:rPr>
          <w:rFonts w:ascii="Times New Roman" w:hAnsi="Times New Roman" w:cs="Times New Roman"/>
          <w:sz w:val="24"/>
          <w:szCs w:val="24"/>
        </w:rPr>
        <w:t xml:space="preserve"> je možné, ale není nutné zadat. </w:t>
      </w:r>
    </w:p>
    <w:p w:rsidR="00346A74" w:rsidRPr="00290516" w:rsidRDefault="00346A74" w:rsidP="00346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516">
        <w:rPr>
          <w:rFonts w:ascii="Times New Roman" w:hAnsi="Times New Roman" w:cs="Times New Roman"/>
          <w:sz w:val="24"/>
          <w:szCs w:val="24"/>
        </w:rPr>
        <w:t>Vzhledem k tomu, že typizovaný název plánu může být příliš dlouhý, je možné použít pro snazší orientaci kratší pracovní označení plánu.</w:t>
      </w:r>
    </w:p>
    <w:p w:rsidR="00346A74" w:rsidRPr="00290516" w:rsidRDefault="00346A74" w:rsidP="00346A74">
      <w:pPr>
        <w:spacing w:before="360" w:after="0"/>
        <w:rPr>
          <w:rFonts w:ascii="Times New Roman" w:hAnsi="Times New Roman" w:cs="Times New Roman"/>
          <w:b/>
          <w:sz w:val="24"/>
          <w:szCs w:val="24"/>
        </w:rPr>
      </w:pPr>
      <w:r w:rsidRPr="00290516">
        <w:rPr>
          <w:rFonts w:ascii="Times New Roman" w:hAnsi="Times New Roman" w:cs="Times New Roman"/>
          <w:b/>
          <w:sz w:val="24"/>
          <w:szCs w:val="24"/>
        </w:rPr>
        <w:t xml:space="preserve">4. Specializace  </w:t>
      </w:r>
    </w:p>
    <w:p w:rsidR="00346A74" w:rsidRPr="00290516" w:rsidRDefault="00346A74" w:rsidP="00346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516">
        <w:rPr>
          <w:rFonts w:ascii="Times New Roman" w:hAnsi="Times New Roman" w:cs="Times New Roman"/>
          <w:sz w:val="24"/>
          <w:szCs w:val="24"/>
        </w:rPr>
        <w:t>Pro každý studijní plán se označí příslušná specializace. Proškrtnutá položka slou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290516">
        <w:rPr>
          <w:rFonts w:ascii="Times New Roman" w:hAnsi="Times New Roman" w:cs="Times New Roman"/>
          <w:sz w:val="24"/>
          <w:szCs w:val="24"/>
        </w:rPr>
        <w:t xml:space="preserve">í pro studijní plán bez specializace nebo pro tzv. „společnou část“ studijního plánu pro všechny specializace. </w:t>
      </w:r>
    </w:p>
    <w:p w:rsidR="00346A74" w:rsidRPr="00290516" w:rsidRDefault="00346A74" w:rsidP="00346A74">
      <w:pPr>
        <w:spacing w:before="360" w:after="0"/>
        <w:rPr>
          <w:rFonts w:ascii="Times New Roman" w:hAnsi="Times New Roman" w:cs="Times New Roman"/>
          <w:b/>
          <w:sz w:val="24"/>
          <w:szCs w:val="24"/>
        </w:rPr>
      </w:pPr>
      <w:r w:rsidRPr="00290516">
        <w:rPr>
          <w:rFonts w:ascii="Times New Roman" w:hAnsi="Times New Roman" w:cs="Times New Roman"/>
          <w:b/>
          <w:sz w:val="24"/>
          <w:szCs w:val="24"/>
        </w:rPr>
        <w:t>5. Instituce</w:t>
      </w:r>
    </w:p>
    <w:p w:rsidR="00346A74" w:rsidRPr="00290516" w:rsidRDefault="00346A74" w:rsidP="00346A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90516">
        <w:rPr>
          <w:rFonts w:ascii="Times New Roman" w:hAnsi="Times New Roman" w:cs="Times New Roman"/>
          <w:sz w:val="24"/>
          <w:szCs w:val="24"/>
        </w:rPr>
        <w:t xml:space="preserve">Označí se fakulta a příslušná instituce participující na daném studijním plánu a to </w:t>
      </w:r>
      <w:r w:rsidRPr="00290516">
        <w:rPr>
          <w:rFonts w:ascii="Times New Roman" w:hAnsi="Times New Roman" w:cs="Times New Roman"/>
          <w:sz w:val="24"/>
          <w:szCs w:val="24"/>
          <w:u w:val="single"/>
        </w:rPr>
        <w:t>pouze v případě</w:t>
      </w:r>
      <w:r w:rsidRPr="00290516">
        <w:rPr>
          <w:rFonts w:ascii="Times New Roman" w:hAnsi="Times New Roman" w:cs="Times New Roman"/>
          <w:sz w:val="24"/>
          <w:szCs w:val="24"/>
        </w:rPr>
        <w:t xml:space="preserve">, že se instituce pro jednotlivé plány daného SP liší (př. 1. plán pouze fa, 2. plán fa + 1.VŠ, 3. plán fa + 2.VŠ). </w:t>
      </w:r>
    </w:p>
    <w:p w:rsidR="00346A74" w:rsidRPr="00290516" w:rsidRDefault="00346A74" w:rsidP="00346A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0516">
        <w:rPr>
          <w:rFonts w:ascii="Times New Roman" w:hAnsi="Times New Roman" w:cs="Times New Roman"/>
          <w:i/>
          <w:sz w:val="24"/>
          <w:szCs w:val="24"/>
          <w:u w:val="single"/>
        </w:rPr>
        <w:t>Pozor:</w:t>
      </w:r>
      <w:r w:rsidRPr="00290516">
        <w:rPr>
          <w:rFonts w:ascii="Times New Roman" w:hAnsi="Times New Roman" w:cs="Times New Roman"/>
          <w:i/>
          <w:sz w:val="24"/>
          <w:szCs w:val="24"/>
        </w:rPr>
        <w:t xml:space="preserve"> pokud jsou u SP akreditovány další instituce (např. ústavy AVČR), které se rovnoměrně podílejí na zajištění SP ve všech studijních plánech, </w:t>
      </w:r>
      <w:r w:rsidRPr="00290516">
        <w:rPr>
          <w:rFonts w:ascii="Times New Roman" w:hAnsi="Times New Roman" w:cs="Times New Roman"/>
          <w:i/>
          <w:sz w:val="24"/>
          <w:szCs w:val="24"/>
          <w:u w:val="single"/>
        </w:rPr>
        <w:t>instituce se u studijního plánu neoznačuje.</w:t>
      </w:r>
      <w:r w:rsidRPr="00290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6A74" w:rsidRPr="00290516" w:rsidRDefault="00346A74" w:rsidP="00346A74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 w:rsidRPr="00290516">
        <w:rPr>
          <w:rFonts w:ascii="Times New Roman" w:hAnsi="Times New Roman" w:cs="Times New Roman"/>
          <w:b/>
          <w:sz w:val="24"/>
          <w:szCs w:val="24"/>
        </w:rPr>
        <w:t>6.</w:t>
      </w:r>
      <w:r w:rsidRPr="00290516">
        <w:rPr>
          <w:rFonts w:ascii="Times New Roman" w:hAnsi="Times New Roman" w:cs="Times New Roman"/>
          <w:sz w:val="24"/>
          <w:szCs w:val="24"/>
        </w:rPr>
        <w:t xml:space="preserve"> </w:t>
      </w:r>
      <w:r w:rsidRPr="00290516">
        <w:rPr>
          <w:rFonts w:ascii="Times New Roman" w:hAnsi="Times New Roman" w:cs="Times New Roman"/>
          <w:b/>
          <w:sz w:val="24"/>
          <w:szCs w:val="24"/>
        </w:rPr>
        <w:t>Typ plánu</w:t>
      </w:r>
      <w:r w:rsidRPr="00290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74" w:rsidRPr="00290516" w:rsidRDefault="00346A74" w:rsidP="00346A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90516">
        <w:rPr>
          <w:rFonts w:ascii="Times New Roman" w:hAnsi="Times New Roman" w:cs="Times New Roman"/>
          <w:sz w:val="24"/>
          <w:szCs w:val="24"/>
        </w:rPr>
        <w:t>U jednoduchých studijních plánů (bez specializací a sdruženého studia) je pevně nastavena položka plný plán.</w:t>
      </w:r>
    </w:p>
    <w:p w:rsidR="00346A74" w:rsidRPr="00290516" w:rsidRDefault="00346A74" w:rsidP="00346A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90516">
        <w:rPr>
          <w:rFonts w:ascii="Times New Roman" w:hAnsi="Times New Roman" w:cs="Times New Roman"/>
          <w:sz w:val="24"/>
          <w:szCs w:val="24"/>
        </w:rPr>
        <w:t xml:space="preserve">Typ plánu je podstatný </w:t>
      </w:r>
    </w:p>
    <w:p w:rsidR="00346A74" w:rsidRPr="00290516" w:rsidRDefault="00346A74" w:rsidP="00346A74">
      <w:pPr>
        <w:pStyle w:val="Odstavecseseznamem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290516">
        <w:rPr>
          <w:rFonts w:ascii="Times New Roman" w:hAnsi="Times New Roman" w:cs="Times New Roman"/>
          <w:sz w:val="24"/>
          <w:szCs w:val="24"/>
        </w:rPr>
        <w:t>u specializací (specializační část, společná a specializační část, plán bez specializací, společná část pro specializace, vnitřní kombinace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46A74" w:rsidRPr="00290516" w:rsidRDefault="00346A74" w:rsidP="00346A74">
      <w:pPr>
        <w:pStyle w:val="Odstavecseseznamem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290516">
        <w:rPr>
          <w:rFonts w:ascii="Times New Roman" w:hAnsi="Times New Roman" w:cs="Times New Roman"/>
          <w:sz w:val="24"/>
          <w:szCs w:val="24"/>
        </w:rPr>
        <w:t xml:space="preserve">u sdruženého studia </w:t>
      </w:r>
      <w:r>
        <w:rPr>
          <w:rFonts w:ascii="Times New Roman" w:hAnsi="Times New Roman" w:cs="Times New Roman"/>
          <w:sz w:val="24"/>
          <w:szCs w:val="24"/>
        </w:rPr>
        <w:t>(maior, minor, plný plán).</w:t>
      </w:r>
    </w:p>
    <w:p w:rsidR="00346A74" w:rsidRPr="00290516" w:rsidRDefault="00346A74" w:rsidP="00346A74">
      <w:pPr>
        <w:spacing w:before="24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0516">
        <w:rPr>
          <w:rFonts w:ascii="Times New Roman" w:hAnsi="Times New Roman" w:cs="Times New Roman"/>
          <w:i/>
          <w:sz w:val="24"/>
          <w:szCs w:val="24"/>
        </w:rPr>
        <w:lastRenderedPageBreak/>
        <w:t>Pozor: v akreditačním modulu v SIS nelze kombinovat samostatnou specializační a samostatnou společnou část plánu pro specializace s plány maior a minor. Tzn. ve sdruženém studiu je pro sdružené studium nutno použít tzv. plný studijní plán pro společnou a specializační část.</w:t>
      </w:r>
    </w:p>
    <w:p w:rsidR="00346A74" w:rsidRPr="00290516" w:rsidRDefault="00346A74" w:rsidP="00346A74">
      <w:pPr>
        <w:spacing w:before="360" w:after="120"/>
        <w:rPr>
          <w:rFonts w:ascii="Times New Roman" w:hAnsi="Times New Roman" w:cs="Times New Roman"/>
          <w:b/>
          <w:sz w:val="24"/>
          <w:szCs w:val="24"/>
        </w:rPr>
      </w:pPr>
      <w:r w:rsidRPr="00290516">
        <w:rPr>
          <w:rFonts w:ascii="Times New Roman" w:hAnsi="Times New Roman" w:cs="Times New Roman"/>
          <w:b/>
          <w:sz w:val="24"/>
          <w:szCs w:val="24"/>
        </w:rPr>
        <w:t>7. / 8. Podíl garantů předmětů na výuce</w:t>
      </w:r>
    </w:p>
    <w:p w:rsidR="00346A74" w:rsidRPr="00290516" w:rsidRDefault="00346A74" w:rsidP="00346A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0516">
        <w:rPr>
          <w:rFonts w:ascii="Times New Roman" w:hAnsi="Times New Roman" w:cs="Times New Roman"/>
          <w:sz w:val="24"/>
          <w:szCs w:val="24"/>
        </w:rPr>
        <w:t>Standardy SP UK (OR 13/2019) v čl. 9, odst. 4-6 stanovují minimální rozsah, v jakém se garanti předmětů musí podílet na výuce daného předmětu. Podíl garantů předmětů na výuce je možno uvést u předmětů v programu tajemník. Pro akreditaci SP ale stačí, když se za dodržení standardů (vyjmenovaných v poznámce „</w:t>
      </w:r>
      <w:r w:rsidRPr="0029051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243EF61" wp14:editId="43433900">
            <wp:extent cx="171429" cy="161905"/>
            <wp:effectExtent l="0" t="0" r="63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29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0516">
        <w:rPr>
          <w:rFonts w:ascii="Times New Roman" w:hAnsi="Times New Roman" w:cs="Times New Roman"/>
          <w:sz w:val="24"/>
          <w:szCs w:val="24"/>
        </w:rPr>
        <w:t>“) zaručí garant SP zaškrtnutím příslušného pole a následně děkan fakultu v průvodním dopise k návrhu SP.</w:t>
      </w:r>
    </w:p>
    <w:p w:rsidR="00346A74" w:rsidRPr="00290516" w:rsidRDefault="00346A74" w:rsidP="00346A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90516">
        <w:rPr>
          <w:rFonts w:ascii="Times New Roman" w:hAnsi="Times New Roman" w:cs="Times New Roman"/>
          <w:sz w:val="24"/>
          <w:szCs w:val="24"/>
        </w:rPr>
        <w:t>Pokud z nějakého důvodu nelze požadovaný minimální podíl dodržet, nebo je podíl garanta na výuce atypický (např. konzultace, tvorba skript apod.) uvádí se to do poznámky (8).</w:t>
      </w:r>
    </w:p>
    <w:p w:rsidR="00346A74" w:rsidRPr="00290516" w:rsidRDefault="00346A74" w:rsidP="00346A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9051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Podrobnosti o požadavcích na personální zabezpečení jsou součástí metodiky </w:t>
      </w:r>
      <w:r w:rsidRPr="00290516">
        <w:rPr>
          <w:rFonts w:ascii="Times New Roman" w:hAnsi="Times New Roman" w:cs="Times New Roman"/>
          <w:sz w:val="24"/>
          <w:szCs w:val="24"/>
        </w:rPr>
        <w:t xml:space="preserve">přípravy návrhu pregraduálního SP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(</w:t>
      </w:r>
      <w:r w:rsidRPr="00290516">
        <w:rPr>
          <w:rFonts w:ascii="Times New Roman" w:hAnsi="Times New Roman" w:cs="Times New Roman"/>
          <w:noProof/>
          <w:sz w:val="24"/>
          <w:szCs w:val="24"/>
          <w:lang w:eastAsia="cs-CZ"/>
        </w:rPr>
        <w:t>část obecné pokyn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y pro přípravu studijního plánu) a také metodická podpora a metodické materiály (část personální zabezpečení SP).</w:t>
      </w:r>
    </w:p>
    <w:p w:rsidR="00346A74" w:rsidRPr="00B22DCB" w:rsidRDefault="00346A74" w:rsidP="00346A74">
      <w:pPr>
        <w:spacing w:after="120"/>
        <w:jc w:val="center"/>
        <w:rPr>
          <w:rFonts w:ascii="Times New Roman" w:hAnsi="Times New Roman" w:cs="Times New Roman"/>
          <w:szCs w:val="24"/>
        </w:rPr>
      </w:pPr>
      <w:r w:rsidRPr="00B22DCB">
        <w:rPr>
          <w:rFonts w:ascii="Times New Roman" w:hAnsi="Times New Roman" w:cs="Times New Roman"/>
          <w:szCs w:val="24"/>
        </w:rPr>
        <w:t>*</w:t>
      </w:r>
      <w:r>
        <w:rPr>
          <w:rFonts w:ascii="Times New Roman" w:hAnsi="Times New Roman" w:cs="Times New Roman"/>
          <w:szCs w:val="24"/>
        </w:rPr>
        <w:t>**</w:t>
      </w:r>
    </w:p>
    <w:p w:rsidR="00346A74" w:rsidRPr="00290516" w:rsidRDefault="00346A74" w:rsidP="00346A74">
      <w:pPr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290516">
        <w:rPr>
          <w:rFonts w:ascii="Times New Roman" w:hAnsi="Times New Roman" w:cs="Times New Roman"/>
          <w:b/>
          <w:sz w:val="24"/>
          <w:szCs w:val="24"/>
        </w:rPr>
        <w:t>Další položky</w:t>
      </w:r>
      <w:r w:rsidRPr="00290516">
        <w:rPr>
          <w:rFonts w:ascii="Times New Roman" w:hAnsi="Times New Roman" w:cs="Times New Roman"/>
          <w:sz w:val="24"/>
          <w:szCs w:val="24"/>
        </w:rPr>
        <w:t xml:space="preserve"> z karty hlavičky plánu, které je nezbytné vyplnit:</w:t>
      </w:r>
    </w:p>
    <w:p w:rsidR="00346A74" w:rsidRPr="0063130D" w:rsidRDefault="00346A74" w:rsidP="00346A74">
      <w:pPr>
        <w:spacing w:after="0"/>
        <w:rPr>
          <w:sz w:val="24"/>
          <w:szCs w:val="24"/>
        </w:rPr>
      </w:pPr>
    </w:p>
    <w:p w:rsidR="00346A74" w:rsidRDefault="00346A74" w:rsidP="00346A74">
      <w:pPr>
        <w:spacing w:after="0"/>
        <w:rPr>
          <w:sz w:val="24"/>
          <w:szCs w:val="24"/>
        </w:rPr>
      </w:pPr>
      <w:r w:rsidRPr="0063130D">
        <w:rPr>
          <w:noProof/>
          <w:sz w:val="24"/>
          <w:szCs w:val="24"/>
          <w:lang w:eastAsia="cs-CZ"/>
        </w:rPr>
        <w:drawing>
          <wp:inline distT="0" distB="0" distL="0" distR="0" wp14:anchorId="04EE89E6" wp14:editId="4E2CE850">
            <wp:extent cx="3447619" cy="495238"/>
            <wp:effectExtent l="0" t="0" r="635" b="63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74" w:rsidRPr="00290516" w:rsidRDefault="00346A74" w:rsidP="00346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516">
        <w:rPr>
          <w:rFonts w:ascii="Times New Roman" w:hAnsi="Times New Roman" w:cs="Times New Roman"/>
          <w:sz w:val="24"/>
          <w:szCs w:val="24"/>
        </w:rPr>
        <w:t xml:space="preserve">Do </w:t>
      </w:r>
      <w:r w:rsidRPr="00290516">
        <w:rPr>
          <w:rFonts w:ascii="Times New Roman" w:hAnsi="Times New Roman" w:cs="Times New Roman"/>
          <w:b/>
          <w:sz w:val="24"/>
          <w:szCs w:val="24"/>
        </w:rPr>
        <w:t>poznámky ke studijnímu plánu</w:t>
      </w:r>
      <w:r w:rsidRPr="00290516">
        <w:rPr>
          <w:rFonts w:ascii="Times New Roman" w:hAnsi="Times New Roman" w:cs="Times New Roman"/>
          <w:sz w:val="24"/>
          <w:szCs w:val="24"/>
        </w:rPr>
        <w:t xml:space="preserve"> se uvádí veškeré informace a komentáře, které se bezprostředně vztahují ke studijnímu plánu, pro které není prostor v testové části (charakteristika SP). Např. ekvivalentní předměty u specializací, popis atypického rozsahu výuky, komentáře k SZZ apod. </w:t>
      </w:r>
    </w:p>
    <w:p w:rsidR="00346A74" w:rsidRDefault="00346A74" w:rsidP="00346A74">
      <w:pPr>
        <w:spacing w:before="600" w:after="0"/>
        <w:rPr>
          <w:sz w:val="24"/>
          <w:szCs w:val="24"/>
        </w:rPr>
      </w:pPr>
      <w:r w:rsidRPr="0063130D">
        <w:rPr>
          <w:noProof/>
          <w:sz w:val="24"/>
          <w:szCs w:val="24"/>
          <w:lang w:eastAsia="cs-CZ"/>
        </w:rPr>
        <w:drawing>
          <wp:inline distT="0" distB="0" distL="0" distR="0" wp14:anchorId="2BD921E6" wp14:editId="43F6506B">
            <wp:extent cx="2542857" cy="466667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2857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74" w:rsidRPr="00290516" w:rsidRDefault="00346A74" w:rsidP="00346A74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290516">
        <w:rPr>
          <w:rFonts w:ascii="Times New Roman" w:hAnsi="Times New Roman" w:cs="Times New Roman"/>
          <w:b/>
          <w:sz w:val="24"/>
          <w:szCs w:val="24"/>
        </w:rPr>
        <w:t>Státní závěrečná zkouška</w:t>
      </w:r>
      <w:r w:rsidRPr="00290516">
        <w:rPr>
          <w:rFonts w:ascii="Times New Roman" w:hAnsi="Times New Roman" w:cs="Times New Roman"/>
          <w:sz w:val="24"/>
          <w:szCs w:val="24"/>
        </w:rPr>
        <w:t xml:space="preserve"> se popisuje v podobě: </w:t>
      </w:r>
    </w:p>
    <w:p w:rsidR="00346A74" w:rsidRPr="00290516" w:rsidRDefault="00346A74" w:rsidP="00346A74">
      <w:pPr>
        <w:numPr>
          <w:ilvl w:val="0"/>
          <w:numId w:val="2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05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a název části SZZ :</w:t>
      </w:r>
      <w:r w:rsidRPr="002905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název lze uvést obecně (obhajoba…, ústní část), ale upřednostňován je konkrétní název jednotlivých částí</w:t>
      </w:r>
    </w:p>
    <w:p w:rsidR="00346A74" w:rsidRPr="00290516" w:rsidRDefault="00346A74" w:rsidP="00346A74">
      <w:pPr>
        <w:numPr>
          <w:ilvl w:val="0"/>
          <w:numId w:val="2"/>
        </w:numPr>
        <w:spacing w:before="36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05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 obsahu části SZZ</w:t>
      </w:r>
      <w:r w:rsidRPr="0029051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46A74" w:rsidRPr="00290516" w:rsidRDefault="00346A74" w:rsidP="00346A74">
      <w:pPr>
        <w:numPr>
          <w:ilvl w:val="1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05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názvy </w:t>
      </w:r>
      <w:r w:rsidRPr="002905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tematických okruhů</w:t>
      </w:r>
      <w:r w:rsidRPr="002905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(TO) s vymezením jejich obsahu, např. uvedením studijních předmětů (názvy, nikoli kódy), na které tematické okruhy navazují, nebo stručným popisem; způsob absolvování TO, nebo volby mezi TO apod.;</w:t>
      </w:r>
    </w:p>
    <w:p w:rsidR="00346A74" w:rsidRPr="00290516" w:rsidRDefault="00346A74" w:rsidP="00346A7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0516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se část SZZ nedělí dále na tematické okruhy, pak se uvádí obsah části SZZ v podobě jako u TO</w:t>
      </w:r>
    </w:p>
    <w:p w:rsidR="00346A74" w:rsidRDefault="00346A74" w:rsidP="00346A74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br w:type="page"/>
      </w:r>
    </w:p>
    <w:p w:rsidR="00346A74" w:rsidRPr="00290516" w:rsidRDefault="00346A74" w:rsidP="00346A74">
      <w:pPr>
        <w:pStyle w:val="Odstavecseseznamem"/>
        <w:numPr>
          <w:ilvl w:val="0"/>
          <w:numId w:val="2"/>
        </w:numPr>
        <w:spacing w:before="240"/>
        <w:ind w:left="714" w:hanging="357"/>
        <w:contextualSpacing w:val="0"/>
        <w:rPr>
          <w:rFonts w:ascii="Times New Roman" w:hAnsi="Times New Roman" w:cs="Times New Roman"/>
          <w:sz w:val="24"/>
          <w:szCs w:val="18"/>
        </w:rPr>
      </w:pPr>
      <w:r w:rsidRPr="00290516">
        <w:rPr>
          <w:rFonts w:ascii="Times New Roman" w:hAnsi="Times New Roman" w:cs="Times New Roman"/>
          <w:b/>
          <w:sz w:val="24"/>
          <w:szCs w:val="18"/>
        </w:rPr>
        <w:lastRenderedPageBreak/>
        <w:t>Struktura SZZ - příklad</w:t>
      </w:r>
      <w:r w:rsidRPr="00290516">
        <w:rPr>
          <w:rFonts w:ascii="Times New Roman" w:hAnsi="Times New Roman" w:cs="Times New Roman"/>
          <w:sz w:val="24"/>
          <w:szCs w:val="18"/>
        </w:rPr>
        <w:t xml:space="preserve">: </w:t>
      </w:r>
    </w:p>
    <w:tbl>
      <w:tblPr>
        <w:tblW w:w="8010" w:type="dxa"/>
        <w:tblInd w:w="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10"/>
      </w:tblGrid>
      <w:tr w:rsidR="00346A74" w:rsidTr="00254833">
        <w:trPr>
          <w:trHeight w:val="397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6A74" w:rsidRPr="00290516" w:rsidRDefault="00346A74" w:rsidP="00346A74">
            <w:pPr>
              <w:pStyle w:val="Odstavecseseznamem"/>
              <w:numPr>
                <w:ilvl w:val="0"/>
                <w:numId w:val="3"/>
              </w:numPr>
              <w:spacing w:after="0"/>
              <w:ind w:left="291" w:hanging="291"/>
              <w:rPr>
                <w:rFonts w:ascii="Times New Roman" w:eastAsia="Calibri" w:hAnsi="Times New Roman" w:cs="Times New Roman"/>
                <w:sz w:val="20"/>
              </w:rPr>
            </w:pPr>
            <w:r w:rsidRPr="00290516">
              <w:rPr>
                <w:rFonts w:ascii="Times New Roman" w:eastAsia="Calibri" w:hAnsi="Times New Roman" w:cs="Times New Roman"/>
                <w:sz w:val="20"/>
              </w:rPr>
              <w:t>část SZZ: Obhajoba diplomové práce</w:t>
            </w:r>
          </w:p>
        </w:tc>
      </w:tr>
      <w:tr w:rsidR="00346A74" w:rsidTr="00254833">
        <w:trPr>
          <w:trHeight w:val="283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A74" w:rsidRPr="00290516" w:rsidRDefault="00346A74" w:rsidP="00254833">
            <w:pPr>
              <w:spacing w:before="120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290516">
              <w:rPr>
                <w:rFonts w:ascii="Times New Roman" w:eastAsia="Calibri" w:hAnsi="Times New Roman" w:cs="Times New Roman"/>
                <w:sz w:val="20"/>
                <w:u w:val="single"/>
              </w:rPr>
              <w:t>příklad 1</w:t>
            </w:r>
          </w:p>
          <w:p w:rsidR="00346A74" w:rsidRPr="00290516" w:rsidRDefault="00346A74" w:rsidP="00346A74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</w:rPr>
            </w:pPr>
            <w:r w:rsidRPr="00290516">
              <w:rPr>
                <w:rFonts w:ascii="Times New Roman" w:eastAsia="Calibri" w:hAnsi="Times New Roman" w:cs="Times New Roman"/>
                <w:sz w:val="20"/>
              </w:rPr>
              <w:t>část SZZ: se skládá ze dvou tematických okruhů (TO):</w:t>
            </w:r>
          </w:p>
          <w:p w:rsidR="00346A74" w:rsidRPr="00290516" w:rsidRDefault="00346A74" w:rsidP="002548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90516">
              <w:rPr>
                <w:rFonts w:ascii="Times New Roman" w:eastAsia="Calibri" w:hAnsi="Times New Roman" w:cs="Times New Roman"/>
                <w:sz w:val="20"/>
              </w:rPr>
              <w:t>TO1: Teoretické základy makromolekulární chemie (témata probíraná v ZT PPZ: Makromolekulární chemie II, Fyzikální chemie makromolekul, Nanochemie, NMR spektroskopie organických látek)</w:t>
            </w:r>
          </w:p>
          <w:p w:rsidR="00346A74" w:rsidRPr="00290516" w:rsidRDefault="00346A74" w:rsidP="002548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90516">
              <w:rPr>
                <w:rFonts w:ascii="Times New Roman" w:eastAsia="Calibri" w:hAnsi="Times New Roman" w:cs="Times New Roman"/>
                <w:sz w:val="20"/>
              </w:rPr>
              <w:t>TO2: Experimentální metody makromolekulární chemie (témata probíraná v ZT PPZ: Pokročilé praktikum z fyzikální a makromolekulární chemie, Spektroskopické metody, Fyzikální chemie makromolekul, Nanochemie)</w:t>
            </w:r>
          </w:p>
          <w:p w:rsidR="00346A74" w:rsidRPr="00290516" w:rsidRDefault="00346A74" w:rsidP="002548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346A74" w:rsidRPr="00290516" w:rsidRDefault="00346A74" w:rsidP="002548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290516">
              <w:rPr>
                <w:rFonts w:ascii="Times New Roman" w:eastAsia="Calibri" w:hAnsi="Times New Roman" w:cs="Times New Roman"/>
                <w:sz w:val="20"/>
                <w:u w:val="single"/>
              </w:rPr>
              <w:t>příklad 2</w:t>
            </w:r>
          </w:p>
          <w:p w:rsidR="00346A74" w:rsidRPr="00290516" w:rsidRDefault="00346A74" w:rsidP="002548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346A74" w:rsidRPr="00290516" w:rsidRDefault="00346A74" w:rsidP="002548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90516">
              <w:rPr>
                <w:rFonts w:ascii="Times New Roman" w:eastAsia="Calibri" w:hAnsi="Times New Roman" w:cs="Times New Roman"/>
                <w:sz w:val="20"/>
              </w:rPr>
              <w:t>2. část SZZ: ústní zkouška (z každého z tematických okruhů 1-3 dostane student jednu otázku</w:t>
            </w:r>
            <w:r w:rsidRPr="003A1A3E">
              <w:rPr>
                <w:rFonts w:ascii="Times New Roman" w:eastAsia="Calibri" w:hAnsi="Times New Roman" w:cs="Times New Roman"/>
                <w:sz w:val="20"/>
                <w:vertAlign w:val="superscript"/>
              </w:rPr>
              <w:t>*)</w:t>
            </w:r>
            <w:r w:rsidRPr="00290516">
              <w:rPr>
                <w:rFonts w:ascii="Times New Roman" w:eastAsia="Calibri" w:hAnsi="Times New Roman" w:cs="Times New Roman"/>
                <w:sz w:val="20"/>
              </w:rPr>
              <w:t>):</w:t>
            </w:r>
          </w:p>
          <w:p w:rsidR="00346A74" w:rsidRPr="00290516" w:rsidRDefault="00346A74" w:rsidP="002548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90516">
              <w:rPr>
                <w:rFonts w:ascii="Times New Roman" w:eastAsia="Calibri" w:hAnsi="Times New Roman" w:cs="Times New Roman"/>
                <w:sz w:val="20"/>
              </w:rPr>
              <w:t>1. tematický okruh: Pravděpodobnost a statistika</w:t>
            </w:r>
          </w:p>
          <w:p w:rsidR="00346A74" w:rsidRPr="00290516" w:rsidRDefault="00346A74" w:rsidP="002548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90516">
              <w:rPr>
                <w:rFonts w:ascii="Times New Roman" w:eastAsia="Calibri" w:hAnsi="Times New Roman" w:cs="Times New Roman"/>
                <w:sz w:val="20"/>
              </w:rPr>
              <w:t>Náhodné veličiny, charakteristiky jejich rozdělení. Náhodné vektory, sdružené rozdělení, kovariance, modelování a měření závislostí. Podmíněné rozdělení. Rozdělení pravděpodobností v pojistné matematice. Odhady parametrů a jejich vlastnosti. ….</w:t>
            </w:r>
          </w:p>
          <w:p w:rsidR="00346A74" w:rsidRPr="00290516" w:rsidRDefault="00346A74" w:rsidP="002548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90516">
              <w:rPr>
                <w:rFonts w:ascii="Times New Roman" w:eastAsia="Calibri" w:hAnsi="Times New Roman" w:cs="Times New Roman"/>
                <w:sz w:val="20"/>
              </w:rPr>
              <w:t>2. tematický okruh: Životní a neživotní pojištění</w:t>
            </w:r>
          </w:p>
          <w:p w:rsidR="00346A74" w:rsidRPr="00290516" w:rsidRDefault="00346A74" w:rsidP="002548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90516">
              <w:rPr>
                <w:rFonts w:ascii="Times New Roman" w:eastAsia="Calibri" w:hAnsi="Times New Roman" w:cs="Times New Roman"/>
                <w:sz w:val="20"/>
              </w:rPr>
              <w:t>Demografický model životního pojištění.  Kapitálové a důchodové pojištění. Rezervy pojistného životních pojištění. Modely pojištění osob s více dekrementy. Pojištění více životů. ….</w:t>
            </w:r>
          </w:p>
          <w:p w:rsidR="00346A74" w:rsidRPr="00290516" w:rsidRDefault="00346A74" w:rsidP="002548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90516">
              <w:rPr>
                <w:rFonts w:ascii="Times New Roman" w:eastAsia="Calibri" w:hAnsi="Times New Roman" w:cs="Times New Roman"/>
                <w:sz w:val="20"/>
              </w:rPr>
              <w:t>3. tematický okruh: Finance a účetnictví</w:t>
            </w:r>
          </w:p>
          <w:p w:rsidR="00346A74" w:rsidRDefault="00346A74" w:rsidP="002548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290516">
              <w:rPr>
                <w:rFonts w:ascii="Times New Roman" w:eastAsia="Calibri" w:hAnsi="Times New Roman" w:cs="Times New Roman"/>
                <w:sz w:val="20"/>
              </w:rPr>
              <w:t>Základy financí. Cenné papíry a jejich oceňování. Finanční riziko. Metody analýzy akciového trhu. Účetnictví.</w:t>
            </w:r>
          </w:p>
          <w:p w:rsidR="00346A74" w:rsidRPr="00290516" w:rsidRDefault="00346A74" w:rsidP="002548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3A1A3E">
              <w:rPr>
                <w:rFonts w:ascii="Times New Roman" w:eastAsia="Calibri" w:hAnsi="Times New Roman" w:cs="Times New Roman"/>
                <w:sz w:val="18"/>
              </w:rPr>
              <w:t xml:space="preserve">*) další možnosti: „student volí jeden z tematických okruhů“ apod. </w:t>
            </w:r>
          </w:p>
        </w:tc>
      </w:tr>
    </w:tbl>
    <w:p w:rsidR="00346A74" w:rsidRDefault="00346A74" w:rsidP="00346A74">
      <w:pPr>
        <w:spacing w:after="0"/>
        <w:rPr>
          <w:sz w:val="24"/>
          <w:szCs w:val="24"/>
        </w:rPr>
      </w:pPr>
    </w:p>
    <w:p w:rsidR="00346A74" w:rsidRDefault="00346A74" w:rsidP="00346A7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5182A">
        <w:rPr>
          <w:rFonts w:ascii="Times New Roman" w:hAnsi="Times New Roman" w:cs="Times New Roman"/>
          <w:b/>
          <w:sz w:val="24"/>
          <w:szCs w:val="24"/>
        </w:rPr>
        <w:t>Pozor</w:t>
      </w:r>
      <w:r w:rsidRPr="00E5182A">
        <w:rPr>
          <w:rFonts w:ascii="Times New Roman" w:hAnsi="Times New Roman" w:cs="Times New Roman"/>
          <w:sz w:val="24"/>
          <w:szCs w:val="24"/>
        </w:rPr>
        <w:t xml:space="preserve">: zadávání SZZ u specializací a sdruženého studia </w:t>
      </w:r>
      <w:r>
        <w:rPr>
          <w:rFonts w:ascii="Times New Roman" w:hAnsi="Times New Roman" w:cs="Times New Roman"/>
          <w:sz w:val="24"/>
          <w:szCs w:val="24"/>
        </w:rPr>
        <w:t xml:space="preserve">je podrobněji popsáno </w:t>
      </w:r>
      <w:r w:rsidRPr="007B166C">
        <w:rPr>
          <w:rFonts w:ascii="Times New Roman" w:hAnsi="Times New Roman" w:cs="Times New Roman"/>
          <w:sz w:val="24"/>
          <w:szCs w:val="24"/>
        </w:rPr>
        <w:t>v Metodice přípravy návrhu pregraduálního SP v  přílohách: příprava studijních plánů se specializacemi</w:t>
      </w:r>
      <w:r w:rsidRPr="001E059B">
        <w:rPr>
          <w:rFonts w:ascii="Times New Roman" w:hAnsi="Times New Roman" w:cs="Times New Roman"/>
          <w:sz w:val="24"/>
          <w:szCs w:val="24"/>
        </w:rPr>
        <w:t xml:space="preserve"> a pro sdružené studium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A74" w:rsidRPr="00E5182A" w:rsidRDefault="00346A74" w:rsidP="00346A74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346A74" w:rsidRDefault="00346A74" w:rsidP="00346A74">
      <w:pPr>
        <w:spacing w:before="360"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B77E6DF" wp14:editId="21E0D63A">
            <wp:extent cx="2971429" cy="428571"/>
            <wp:effectExtent l="0" t="0" r="63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74" w:rsidRDefault="00346A74" w:rsidP="00346A74">
      <w:pPr>
        <w:spacing w:before="120" w:after="0"/>
        <w:rPr>
          <w:sz w:val="24"/>
          <w:szCs w:val="24"/>
        </w:rPr>
      </w:pPr>
      <w:r w:rsidRPr="00290516">
        <w:rPr>
          <w:rFonts w:ascii="Times New Roman" w:hAnsi="Times New Roman" w:cs="Times New Roman"/>
          <w:sz w:val="24"/>
          <w:szCs w:val="24"/>
        </w:rPr>
        <w:t>U (navazujícího) magisterského studia je nezbytné popsat obsah (základní tematické okruhy) ústní části státní rigorózní zkoušky, pokud je její akreditace požadována. Obsah SRZ by měl souviset s obsahem magisterského SP, ke kterému se váže</w:t>
      </w:r>
      <w:r>
        <w:rPr>
          <w:sz w:val="24"/>
          <w:szCs w:val="24"/>
        </w:rPr>
        <w:t>.</w:t>
      </w:r>
    </w:p>
    <w:p w:rsidR="00346A74" w:rsidRDefault="00346A74" w:rsidP="00346A74">
      <w:pPr>
        <w:spacing w:after="0"/>
        <w:rPr>
          <w:sz w:val="24"/>
          <w:szCs w:val="24"/>
        </w:rPr>
      </w:pPr>
    </w:p>
    <w:p w:rsidR="008A4B2F" w:rsidRPr="00346A74" w:rsidRDefault="00346A74" w:rsidP="00346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66C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</w:p>
    <w:sectPr w:rsidR="008A4B2F" w:rsidRPr="0034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749BA"/>
    <w:multiLevelType w:val="hybridMultilevel"/>
    <w:tmpl w:val="30FCB9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872CC7"/>
    <w:multiLevelType w:val="hybridMultilevel"/>
    <w:tmpl w:val="ED98A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B38BF"/>
    <w:multiLevelType w:val="multilevel"/>
    <w:tmpl w:val="4BA2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theme="minorBidi" w:hint="default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74"/>
    <w:rsid w:val="00346A74"/>
    <w:rsid w:val="008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AA84"/>
  <w15:chartTrackingRefBased/>
  <w15:docId w15:val="{DA6458C5-8783-4BC9-AF4B-A100239C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A7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46A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6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6A7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834C6369</Template>
  <TotalTime>1</TotalTime>
  <Pages>3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Benetková Eva</dc:creator>
  <cp:keywords/>
  <dc:description/>
  <cp:lastModifiedBy>Benetková Eva</cp:lastModifiedBy>
  <cp:revision>1</cp:revision>
  <dcterms:created xsi:type="dcterms:W3CDTF">2020-11-18T14:58:00Z</dcterms:created>
  <dcterms:modified xsi:type="dcterms:W3CDTF">2020-11-18T14:59:00Z</dcterms:modified>
</cp:coreProperties>
</file>