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43" w:rsidRDefault="00161643" w:rsidP="001064D1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bookmarkStart w:id="0" w:name="_GoBack"/>
      <w:bookmarkEnd w:id="0"/>
      <w:r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4</w:t>
      </w:r>
      <w:r w:rsidRPr="00161643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GB"/>
        </w:rPr>
        <w:t>th</w:t>
      </w:r>
      <w:r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Consolidated version </w:t>
      </w:r>
    </w:p>
    <w:p w:rsidR="004C6B2B" w:rsidRPr="004549C3" w:rsidRDefault="00FB6DC3" w:rsidP="001064D1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 w:rsidRPr="004549C3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Appendix No. 2 TO THE CONSTITUTION OF CHARLES UNIVERSITY</w:t>
      </w:r>
      <w:r w:rsidRPr="004549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  <w:br/>
      </w:r>
      <w:r w:rsidRPr="004549C3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FEES FOR STUDY</w:t>
      </w:r>
    </w:p>
    <w:p w:rsidR="004C6B2B" w:rsidRPr="004549C3" w:rsidRDefault="004C6B2B" w:rsidP="004C6B2B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4C6B2B" w:rsidRPr="004549C3" w:rsidRDefault="00573DA9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4549C3">
        <w:rPr>
          <w:rFonts w:ascii="Times New Roman" w:hAnsi="Times New Roman" w:cs="Times New Roman"/>
          <w:sz w:val="24"/>
          <w:szCs w:val="24"/>
          <w:lang w:val="en-GB" w:eastAsia="cs-CZ"/>
        </w:rPr>
        <w:t>Article</w:t>
      </w:r>
      <w:r w:rsidR="004C6B2B" w:rsidRPr="004549C3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1</w:t>
      </w:r>
    </w:p>
    <w:p w:rsidR="004C6B2B" w:rsidRPr="004549C3" w:rsidRDefault="00A44310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4549C3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Fee for Acts Related to </w:t>
      </w:r>
      <w:r w:rsidR="00DC1F35" w:rsidRPr="00C1377B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the </w:t>
      </w:r>
      <w:r w:rsidR="00E220F2" w:rsidRPr="00C1377B">
        <w:rPr>
          <w:rFonts w:ascii="Times New Roman" w:hAnsi="Times New Roman" w:cs="Times New Roman"/>
          <w:sz w:val="24"/>
          <w:szCs w:val="24"/>
          <w:lang w:val="en-GB" w:eastAsia="cs-CZ"/>
        </w:rPr>
        <w:t>Admissions Procedure</w:t>
      </w:r>
    </w:p>
    <w:p w:rsidR="004C6B2B" w:rsidRPr="004549C3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4C6B2B" w:rsidRPr="004549C3" w:rsidRDefault="00573DA9" w:rsidP="004C6B2B">
      <w:pPr>
        <w:pStyle w:val="Odstavecseseznamem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lang w:val="en-GB"/>
        </w:rPr>
        <w:t xml:space="preserve">The amount of fees for </w:t>
      </w:r>
      <w:r w:rsidR="00A44310" w:rsidRPr="004549C3">
        <w:rPr>
          <w:rFonts w:ascii="Times New Roman" w:hAnsi="Times New Roman" w:cs="Times New Roman"/>
          <w:sz w:val="24"/>
          <w:lang w:val="en-GB"/>
        </w:rPr>
        <w:t xml:space="preserve">acts related to </w:t>
      </w:r>
      <w:r w:rsidR="00DC1F35">
        <w:rPr>
          <w:rFonts w:ascii="Times New Roman" w:hAnsi="Times New Roman" w:cs="Times New Roman"/>
          <w:sz w:val="24"/>
          <w:lang w:val="en-GB"/>
        </w:rPr>
        <w:t xml:space="preserve">the </w:t>
      </w:r>
      <w:r w:rsidRPr="004549C3">
        <w:rPr>
          <w:rFonts w:ascii="Times New Roman" w:hAnsi="Times New Roman" w:cs="Times New Roman"/>
          <w:sz w:val="24"/>
          <w:lang w:val="en-GB"/>
        </w:rPr>
        <w:t>admission</w:t>
      </w:r>
      <w:r w:rsidR="00A44310" w:rsidRPr="004549C3">
        <w:rPr>
          <w:rFonts w:ascii="Times New Roman" w:hAnsi="Times New Roman" w:cs="Times New Roman"/>
          <w:sz w:val="24"/>
          <w:lang w:val="en-GB"/>
        </w:rPr>
        <w:t>s</w:t>
      </w:r>
      <w:r w:rsidRPr="004549C3">
        <w:rPr>
          <w:rFonts w:ascii="Times New Roman" w:hAnsi="Times New Roman" w:cs="Times New Roman"/>
          <w:sz w:val="24"/>
          <w:lang w:val="en-GB"/>
        </w:rPr>
        <w:t xml:space="preserve"> procedure </w:t>
      </w:r>
      <w:r w:rsidR="00A44310" w:rsidRPr="004549C3">
        <w:rPr>
          <w:rFonts w:ascii="Times New Roman" w:hAnsi="Times New Roman" w:cs="Times New Roman"/>
          <w:sz w:val="24"/>
          <w:lang w:val="en-GB"/>
        </w:rPr>
        <w:t xml:space="preserve">in </w:t>
      </w:r>
      <w:r w:rsidR="005108B7">
        <w:rPr>
          <w:rFonts w:ascii="Times New Roman" w:hAnsi="Times New Roman" w:cs="Times New Roman"/>
          <w:sz w:val="24"/>
          <w:lang w:val="en-GB"/>
        </w:rPr>
        <w:t>b</w:t>
      </w:r>
      <w:r w:rsidR="005108B7" w:rsidRPr="004549C3">
        <w:rPr>
          <w:rFonts w:ascii="Times New Roman" w:hAnsi="Times New Roman" w:cs="Times New Roman"/>
          <w:sz w:val="24"/>
          <w:lang w:val="en-GB"/>
        </w:rPr>
        <w:t xml:space="preserve">achelor’s </w:t>
      </w:r>
      <w:r w:rsidR="00A44310" w:rsidRPr="004549C3">
        <w:rPr>
          <w:rFonts w:ascii="Times New Roman" w:hAnsi="Times New Roman" w:cs="Times New Roman"/>
          <w:sz w:val="24"/>
          <w:lang w:val="en-GB"/>
        </w:rPr>
        <w:t xml:space="preserve">and </w:t>
      </w:r>
      <w:r w:rsidR="005108B7">
        <w:rPr>
          <w:rFonts w:ascii="Times New Roman" w:hAnsi="Times New Roman" w:cs="Times New Roman"/>
          <w:sz w:val="24"/>
          <w:lang w:val="en-GB"/>
        </w:rPr>
        <w:t>m</w:t>
      </w:r>
      <w:r w:rsidR="005108B7" w:rsidRPr="004549C3">
        <w:rPr>
          <w:rFonts w:ascii="Times New Roman" w:hAnsi="Times New Roman" w:cs="Times New Roman"/>
          <w:sz w:val="24"/>
          <w:lang w:val="en-GB"/>
        </w:rPr>
        <w:t xml:space="preserve">aster’s </w:t>
      </w:r>
      <w:r w:rsidR="004549C3" w:rsidRPr="004549C3">
        <w:rPr>
          <w:rFonts w:ascii="Times New Roman" w:hAnsi="Times New Roman" w:cs="Times New Roman"/>
          <w:sz w:val="24"/>
          <w:lang w:val="en-GB"/>
        </w:rPr>
        <w:t xml:space="preserve">study </w:t>
      </w:r>
      <w:r w:rsidR="004549C3">
        <w:rPr>
          <w:rFonts w:ascii="Times New Roman" w:hAnsi="Times New Roman" w:cs="Times New Roman"/>
          <w:sz w:val="24"/>
          <w:lang w:val="en-GB"/>
        </w:rPr>
        <w:t>programmes</w:t>
      </w:r>
      <w:r w:rsidR="001B5A8F" w:rsidRPr="004549C3">
        <w:rPr>
          <w:rFonts w:ascii="Times New Roman" w:hAnsi="Times New Roman" w:cs="Times New Roman"/>
          <w:sz w:val="24"/>
          <w:lang w:val="en-GB"/>
        </w:rPr>
        <w:t xml:space="preserve"> is twenty</w:t>
      </w:r>
      <w:r w:rsidR="00A44310" w:rsidRPr="004549C3">
        <w:rPr>
          <w:rFonts w:ascii="Times New Roman" w:hAnsi="Times New Roman" w:cs="Times New Roman"/>
          <w:sz w:val="24"/>
          <w:lang w:val="en-GB"/>
        </w:rPr>
        <w:t xml:space="preserve"> per cent of the base for </w:t>
      </w:r>
      <w:r w:rsidR="00DC1F35">
        <w:rPr>
          <w:rFonts w:ascii="Times New Roman" w:hAnsi="Times New Roman" w:cs="Times New Roman"/>
          <w:sz w:val="24"/>
          <w:lang w:val="en-GB"/>
        </w:rPr>
        <w:t xml:space="preserve">the </w:t>
      </w:r>
      <w:r w:rsidR="00A44310" w:rsidRPr="004549C3">
        <w:rPr>
          <w:rFonts w:ascii="Times New Roman" w:hAnsi="Times New Roman" w:cs="Times New Roman"/>
          <w:sz w:val="24"/>
          <w:lang w:val="en-GB"/>
        </w:rPr>
        <w:t>determination of fees related to study declared by the Ministry of Education, Youth and Sports for th</w:t>
      </w:r>
      <w:r w:rsidR="004549C3">
        <w:rPr>
          <w:rFonts w:ascii="Times New Roman" w:hAnsi="Times New Roman" w:cs="Times New Roman"/>
          <w:sz w:val="24"/>
          <w:lang w:val="en-GB"/>
        </w:rPr>
        <w:t>e relevant academic year (“the B</w:t>
      </w:r>
      <w:r w:rsidR="00A44310" w:rsidRPr="004549C3">
        <w:rPr>
          <w:rFonts w:ascii="Times New Roman" w:hAnsi="Times New Roman" w:cs="Times New Roman"/>
          <w:sz w:val="24"/>
          <w:lang w:val="en-GB"/>
        </w:rPr>
        <w:t xml:space="preserve">ase”); </w:t>
      </w:r>
      <w:r w:rsidR="00DC1F35">
        <w:rPr>
          <w:rFonts w:ascii="Times New Roman" w:hAnsi="Times New Roman" w:cs="Times New Roman"/>
          <w:sz w:val="24"/>
          <w:lang w:val="en-GB"/>
        </w:rPr>
        <w:t xml:space="preserve">if an </w:t>
      </w:r>
      <w:r w:rsidR="00CE278C" w:rsidRPr="004549C3">
        <w:rPr>
          <w:rFonts w:ascii="Times New Roman" w:hAnsi="Times New Roman" w:cs="Times New Roman"/>
          <w:sz w:val="24"/>
          <w:lang w:val="en-GB"/>
        </w:rPr>
        <w:t xml:space="preserve">electronic application form is used the amount of </w:t>
      </w:r>
      <w:r w:rsidR="00DC1F35">
        <w:rPr>
          <w:rFonts w:ascii="Times New Roman" w:hAnsi="Times New Roman" w:cs="Times New Roman"/>
          <w:sz w:val="24"/>
          <w:lang w:val="en-GB"/>
        </w:rPr>
        <w:t xml:space="preserve">the </w:t>
      </w:r>
      <w:r w:rsidR="00CE278C" w:rsidRPr="004549C3">
        <w:rPr>
          <w:rFonts w:ascii="Times New Roman" w:hAnsi="Times New Roman" w:cs="Times New Roman"/>
          <w:sz w:val="24"/>
          <w:lang w:val="en-GB"/>
        </w:rPr>
        <w:t xml:space="preserve">fee is reduced by CZK 50. </w:t>
      </w:r>
      <w:r w:rsidR="00CE278C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The amount of 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E278C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fee is rounded down to 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 xml:space="preserve">the nearest </w:t>
      </w:r>
      <w:r w:rsidR="00CE278C" w:rsidRPr="004549C3">
        <w:rPr>
          <w:rFonts w:ascii="Times New Roman" w:hAnsi="Times New Roman" w:cs="Times New Roman"/>
          <w:sz w:val="24"/>
          <w:szCs w:val="24"/>
          <w:lang w:val="en-GB"/>
        </w:rPr>
        <w:t>whole ten CZK.</w:t>
      </w:r>
    </w:p>
    <w:p w:rsidR="004C6B2B" w:rsidRPr="004549C3" w:rsidRDefault="004549C3" w:rsidP="004C6B2B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E278C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fee for acts related to 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E278C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admissions procedure in doctoral study programmes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equals </w:t>
      </w:r>
      <w:r w:rsidR="00CE278C" w:rsidRPr="004549C3">
        <w:rPr>
          <w:rFonts w:ascii="Times New Roman" w:hAnsi="Times New Roman" w:cs="Times New Roman"/>
          <w:sz w:val="24"/>
          <w:szCs w:val="24"/>
          <w:lang w:val="en-GB"/>
        </w:rPr>
        <w:t>the amount under paragraph 1 reduced by CZK 100.</w:t>
      </w:r>
    </w:p>
    <w:p w:rsidR="004C6B2B" w:rsidRPr="004549C3" w:rsidRDefault="00CE278C" w:rsidP="004C6B2B">
      <w:pPr>
        <w:pStyle w:val="Odstavecseseznamem"/>
        <w:numPr>
          <w:ilvl w:val="0"/>
          <w:numId w:val="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E829B2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 fee is payable on the last day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 xml:space="preserve">deadline </w:t>
      </w:r>
      <w:r w:rsidR="00E829B2" w:rsidRPr="004549C3">
        <w:rPr>
          <w:rFonts w:ascii="Times New Roman" w:hAnsi="Times New Roman" w:cs="Times New Roman"/>
          <w:sz w:val="24"/>
          <w:szCs w:val="24"/>
          <w:lang w:val="en-GB"/>
        </w:rPr>
        <w:t>for submitting applications for study.</w:t>
      </w:r>
    </w:p>
    <w:p w:rsidR="004C6B2B" w:rsidRPr="004549C3" w:rsidRDefault="004C6B2B" w:rsidP="004C6B2B">
      <w:pPr>
        <w:pStyle w:val="Odstavecseseznamem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C6B2B" w:rsidRPr="004549C3" w:rsidRDefault="00573DA9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4C6B2B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</w:p>
    <w:p w:rsidR="004C6B2B" w:rsidRPr="004549C3" w:rsidRDefault="001B5A8F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Fee for Acts Related to 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Review of Compliance with </w:t>
      </w:r>
      <w:r w:rsidR="002F0474">
        <w:rPr>
          <w:rFonts w:ascii="Times New Roman" w:hAnsi="Times New Roman" w:cs="Times New Roman"/>
          <w:sz w:val="24"/>
          <w:szCs w:val="24"/>
          <w:lang w:val="en-GB"/>
        </w:rPr>
        <w:t>Requirement</w:t>
      </w:r>
      <w:r w:rsidR="0016164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 for Admission to Study</w:t>
      </w:r>
    </w:p>
    <w:p w:rsidR="004C6B2B" w:rsidRPr="004549C3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</w:p>
    <w:p w:rsidR="004C6B2B" w:rsidRDefault="001B5A8F" w:rsidP="004C6B2B">
      <w:pPr>
        <w:pStyle w:val="Odstavecseseznamem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The fee for acts related to 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review of compliance with a </w:t>
      </w:r>
      <w:r w:rsidR="002F0474">
        <w:rPr>
          <w:rFonts w:ascii="Times New Roman" w:hAnsi="Times New Roman" w:cs="Times New Roman"/>
          <w:sz w:val="24"/>
          <w:szCs w:val="24"/>
          <w:lang w:val="en-GB"/>
        </w:rPr>
        <w:t>requirement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 for admission to study amounts to twenty per cent </w:t>
      </w:r>
      <w:r w:rsidR="004549C3">
        <w:rPr>
          <w:rFonts w:ascii="Times New Roman" w:hAnsi="Times New Roman" w:cs="Times New Roman"/>
          <w:sz w:val="24"/>
          <w:szCs w:val="24"/>
          <w:lang w:val="en-GB"/>
        </w:rPr>
        <w:t>of the B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ase and is rounded down to 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 xml:space="preserve">the nearest 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>whole ten CZK.</w:t>
      </w:r>
      <w:r w:rsidR="00161643">
        <w:rPr>
          <w:rFonts w:ascii="Times New Roman" w:hAnsi="Times New Roman" w:cs="Times New Roman"/>
          <w:sz w:val="24"/>
          <w:szCs w:val="24"/>
          <w:lang w:val="en-GB"/>
        </w:rPr>
        <w:t xml:space="preserve"> The dean of a faculty may decide by a Dean´s Measure that the fee is not set and collected. </w:t>
      </w:r>
    </w:p>
    <w:p w:rsidR="00161643" w:rsidRPr="004549C3" w:rsidRDefault="00161643" w:rsidP="004C6B2B">
      <w:pPr>
        <w:pStyle w:val="Odstavecseseznamem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If an applicant has submitted more than one application for admission to a faculty where the fee </w:t>
      </w:r>
      <w:r w:rsidR="00C51F8B">
        <w:rPr>
          <w:rFonts w:ascii="Times New Roman" w:hAnsi="Times New Roman" w:cs="Times New Roman"/>
          <w:sz w:val="24"/>
          <w:szCs w:val="24"/>
          <w:lang w:val="en-GB"/>
        </w:rPr>
        <w:t xml:space="preserve">is set under paragraph 1, and the applicant requests </w:t>
      </w:r>
      <w:r w:rsidR="00C51F8B" w:rsidRPr="00C51F8B">
        <w:rPr>
          <w:rFonts w:ascii="Times New Roman" w:hAnsi="Times New Roman" w:cs="Times New Roman"/>
          <w:sz w:val="24"/>
          <w:szCs w:val="24"/>
          <w:lang w:val="en-GB"/>
        </w:rPr>
        <w:t xml:space="preserve">the review of </w:t>
      </w:r>
      <w:r w:rsidR="00C51F8B">
        <w:rPr>
          <w:rFonts w:ascii="Times New Roman" w:hAnsi="Times New Roman" w:cs="Times New Roman"/>
          <w:sz w:val="24"/>
          <w:szCs w:val="24"/>
          <w:lang w:val="en-GB"/>
        </w:rPr>
        <w:t xml:space="preserve">his or her </w:t>
      </w:r>
      <w:r w:rsidR="00C51F8B" w:rsidRPr="00C51F8B">
        <w:rPr>
          <w:rFonts w:ascii="Times New Roman" w:hAnsi="Times New Roman" w:cs="Times New Roman"/>
          <w:sz w:val="24"/>
          <w:szCs w:val="24"/>
          <w:lang w:val="en-GB"/>
        </w:rPr>
        <w:t>compliance with requirement</w:t>
      </w:r>
      <w:r w:rsidR="00C51F8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51F8B" w:rsidRPr="00C51F8B">
        <w:rPr>
          <w:rFonts w:ascii="Times New Roman" w:hAnsi="Times New Roman" w:cs="Times New Roman"/>
          <w:sz w:val="24"/>
          <w:szCs w:val="24"/>
          <w:lang w:val="en-GB"/>
        </w:rPr>
        <w:t xml:space="preserve"> for admission to study</w:t>
      </w:r>
      <w:r w:rsidR="00C51F8B">
        <w:rPr>
          <w:rFonts w:ascii="Times New Roman" w:hAnsi="Times New Roman" w:cs="Times New Roman"/>
          <w:sz w:val="24"/>
          <w:szCs w:val="24"/>
          <w:lang w:val="en-GB"/>
        </w:rPr>
        <w:t xml:space="preserve">, such applicant is to pay a single fee for </w:t>
      </w:r>
      <w:r w:rsidR="00E50F4D">
        <w:rPr>
          <w:rFonts w:ascii="Times New Roman" w:hAnsi="Times New Roman" w:cs="Times New Roman"/>
          <w:sz w:val="24"/>
          <w:szCs w:val="24"/>
          <w:lang w:val="en-GB"/>
        </w:rPr>
        <w:t>all applications to that faculty.</w:t>
      </w:r>
      <w:r w:rsidR="00C51F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C6B2B" w:rsidRPr="00C1377B" w:rsidRDefault="001B5A8F" w:rsidP="004C6B2B">
      <w:pPr>
        <w:pStyle w:val="Odstavecseseznamem"/>
        <w:numPr>
          <w:ilvl w:val="0"/>
          <w:numId w:val="21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  <w:r w:rsidRPr="00C1377B">
        <w:rPr>
          <w:rFonts w:ascii="Times New Roman" w:hAnsi="Times New Roman" w:cs="Times New Roman"/>
          <w:sz w:val="24"/>
          <w:szCs w:val="24"/>
          <w:lang w:val="en-GB"/>
        </w:rPr>
        <w:t xml:space="preserve">The fee is payable on the day of submitting the application for </w:t>
      </w:r>
      <w:r w:rsidR="00D340A8" w:rsidRPr="00C1377B">
        <w:rPr>
          <w:rFonts w:ascii="Times New Roman" w:hAnsi="Times New Roman" w:cs="Times New Roman"/>
          <w:sz w:val="24"/>
          <w:szCs w:val="24"/>
          <w:lang w:val="en-GB"/>
        </w:rPr>
        <w:t>review of compliance</w:t>
      </w:r>
      <w:r w:rsidRPr="00C1377B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2F0474">
        <w:rPr>
          <w:rFonts w:ascii="Times New Roman" w:hAnsi="Times New Roman" w:cs="Times New Roman"/>
          <w:sz w:val="24"/>
          <w:szCs w:val="24"/>
          <w:lang w:val="en-GB"/>
        </w:rPr>
        <w:t>requirement</w:t>
      </w:r>
      <w:r w:rsidR="0016164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1377B">
        <w:rPr>
          <w:rFonts w:ascii="Times New Roman" w:hAnsi="Times New Roman" w:cs="Times New Roman"/>
          <w:sz w:val="24"/>
          <w:szCs w:val="24"/>
          <w:lang w:val="en-GB"/>
        </w:rPr>
        <w:t xml:space="preserve"> for admission to study.</w:t>
      </w:r>
    </w:p>
    <w:p w:rsidR="004C6B2B" w:rsidRPr="004549C3" w:rsidRDefault="004C6B2B" w:rsidP="004C6B2B">
      <w:pPr>
        <w:pStyle w:val="Odstavecseseznamem"/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</w:p>
    <w:p w:rsidR="004C6B2B" w:rsidRPr="004549C3" w:rsidRDefault="00573DA9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4C6B2B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</w:p>
    <w:p w:rsidR="004C6B2B" w:rsidRPr="004549C3" w:rsidRDefault="001B5A8F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>Fee for Longer Study</w:t>
      </w:r>
    </w:p>
    <w:p w:rsidR="004C6B2B" w:rsidRPr="004549C3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</w:p>
    <w:p w:rsidR="004C6B2B" w:rsidRPr="004549C3" w:rsidRDefault="00996826" w:rsidP="004C6B2B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>The fee for longer study in</w:t>
      </w:r>
      <w:r w:rsidR="001B5A8F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5108B7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5108B7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achelor’s </w:t>
      </w:r>
      <w:r w:rsidR="001B5A8F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108B7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5108B7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aster’s </w:t>
      </w:r>
      <w:r w:rsidR="001B5A8F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study programme </w:t>
      </w:r>
      <w:r w:rsidR="00E07C23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with the 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cost intensity </w:t>
      </w:r>
      <w:r w:rsidR="00E07C23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coefficient </w:t>
      </w:r>
      <w:r w:rsidR="004C6B2B" w:rsidRPr="004549C3">
        <w:rPr>
          <w:rFonts w:ascii="Times New Roman" w:hAnsi="Times New Roman" w:cs="Times New Roman"/>
          <w:sz w:val="24"/>
          <w:szCs w:val="24"/>
          <w:u w:val="single"/>
          <w:lang w:val="en-GB"/>
        </w:rPr>
        <w:t>k</w:t>
      </w:r>
      <w:r w:rsidR="004C6B2B" w:rsidRPr="004549C3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for every six months of study 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 xml:space="preserve">begun 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amounts to: </w:t>
      </w:r>
    </w:p>
    <w:p w:rsidR="004C6B2B" w:rsidRPr="004549C3" w:rsidRDefault="00996826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if 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k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equals 1: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4.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5 * 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k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* </w:t>
      </w:r>
      <w:r w:rsid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B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ase, but at least CZK 12,500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</w:p>
    <w:p w:rsidR="004C6B2B" w:rsidRPr="004549C3" w:rsidRDefault="00996826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if 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k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equals 1.2: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4.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5 * 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k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* </w:t>
      </w:r>
      <w:r w:rsid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B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ase, but at least CZK 14,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500,</w:t>
      </w:r>
    </w:p>
    <w:p w:rsidR="004C6B2B" w:rsidRPr="004549C3" w:rsidRDefault="00996826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if 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k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equals 1.65: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4.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0 * 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k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* </w:t>
      </w:r>
      <w:r w:rsid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B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ase, but at least CZK 17,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000,</w:t>
      </w:r>
    </w:p>
    <w:p w:rsidR="004C6B2B" w:rsidRPr="004549C3" w:rsidRDefault="00996826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if 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k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equals 2.25: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3.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5 * 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k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* </w:t>
      </w:r>
      <w:r w:rsid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B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ase, but at least CZK 20,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000,</w:t>
      </w:r>
    </w:p>
    <w:p w:rsidR="004C6B2B" w:rsidRPr="004549C3" w:rsidRDefault="00996826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if 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k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equals 2.8: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3.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5 * 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k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* </w:t>
      </w:r>
      <w:r w:rsid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B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ase, but at least CZK 25,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000,</w:t>
      </w:r>
    </w:p>
    <w:p w:rsidR="004C6B2B" w:rsidRPr="004549C3" w:rsidRDefault="00996826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if 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k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equals 3.5: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3.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5 * 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k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* </w:t>
      </w:r>
      <w:r w:rsid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B</w:t>
      </w:r>
      <w:r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ase, but at least CZK 29,000</w:t>
      </w:r>
      <w:r w:rsidR="004C6B2B" w:rsidRPr="004549C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4C6B2B" w:rsidRPr="004549C3" w:rsidRDefault="00996826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The amount of 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>fee under paragraph 1 (</w:t>
      </w:r>
      <w:r w:rsidR="00E50F4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) applies </w:t>
      </w:r>
      <w:r w:rsidR="00E50F4D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to the study programme of Law and </w:t>
      </w:r>
      <w:r w:rsidR="004549C3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>urisprudence</w:t>
      </w:r>
      <w:r w:rsidR="00E50F4D">
        <w:rPr>
          <w:rFonts w:ascii="Times New Roman" w:hAnsi="Times New Roman" w:cs="Times New Roman"/>
          <w:sz w:val="24"/>
          <w:szCs w:val="24"/>
          <w:lang w:val="en-GB"/>
        </w:rPr>
        <w:t xml:space="preserve"> carried out at the Faculty of Law, and </w:t>
      </w:r>
      <w:r w:rsidR="00E01C0E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to the study programmes </w:t>
      </w:r>
      <w:r w:rsidR="004549C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4549C3">
        <w:rPr>
          <w:rFonts w:ascii="Times New Roman" w:hAnsi="Times New Roman" w:cs="Times New Roman"/>
          <w:sz w:val="24"/>
          <w:szCs w:val="24"/>
          <w:lang w:val="en-GB"/>
        </w:rPr>
        <w:lastRenderedPageBreak/>
        <w:t>Economics</w:t>
      </w:r>
      <w:r w:rsidR="00E01C0E" w:rsidRPr="004549C3">
        <w:rPr>
          <w:rFonts w:ascii="Times New Roman" w:hAnsi="Times New Roman" w:cs="Times New Roman"/>
          <w:sz w:val="24"/>
          <w:szCs w:val="24"/>
          <w:lang w:val="en-GB"/>
        </w:rPr>
        <w:t>, Media and Communication</w:t>
      </w:r>
      <w:r w:rsidR="004549C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01C0E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 Studies, International Area Studies, </w:t>
      </w:r>
      <w:r w:rsidR="00281E39" w:rsidRPr="004549C3">
        <w:rPr>
          <w:rFonts w:ascii="Times New Roman" w:hAnsi="Times New Roman" w:cs="Times New Roman"/>
          <w:sz w:val="24"/>
          <w:szCs w:val="24"/>
          <w:lang w:val="en-GB"/>
        </w:rPr>
        <w:t>Political Science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81E39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 and Sociology 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 xml:space="preserve">offered </w:t>
      </w:r>
      <w:r w:rsidR="00281E39" w:rsidRPr="004549C3">
        <w:rPr>
          <w:rFonts w:ascii="Times New Roman" w:hAnsi="Times New Roman" w:cs="Times New Roman"/>
          <w:sz w:val="24"/>
          <w:szCs w:val="24"/>
          <w:lang w:val="en-GB"/>
        </w:rPr>
        <w:t>by the Faculty of Social Sciences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281E39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 and the amount of 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81E39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fee under paragraph 1 (d) 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281E39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applies to the </w:t>
      </w:r>
      <w:r w:rsidR="00503806">
        <w:rPr>
          <w:rFonts w:ascii="Times New Roman" w:hAnsi="Times New Roman" w:cs="Times New Roman"/>
          <w:sz w:val="24"/>
          <w:szCs w:val="24"/>
          <w:lang w:val="en-GB"/>
        </w:rPr>
        <w:t>Computer Science</w:t>
      </w:r>
      <w:r w:rsidR="00281E39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 study programme.</w:t>
      </w:r>
    </w:p>
    <w:p w:rsidR="004C6B2B" w:rsidRPr="004549C3" w:rsidRDefault="00281E39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The amount of 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fee is rounded up to 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 xml:space="preserve">the nearest 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>whole five hundred CZK.</w:t>
      </w:r>
    </w:p>
    <w:p w:rsidR="004C6B2B" w:rsidRPr="004549C3" w:rsidRDefault="00281E39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fee is payable on the ninetieth day after </w:t>
      </w:r>
      <w:r w:rsidRPr="00D332B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date of legal force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of the decision </w:t>
      </w:r>
      <w:r w:rsidR="00A215AD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to assess 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fee.</w:t>
      </w:r>
    </w:p>
    <w:p w:rsidR="004C6B2B" w:rsidRPr="004549C3" w:rsidRDefault="00A215AD" w:rsidP="004C6B2B">
      <w:pPr>
        <w:pStyle w:val="Odstavecseseznamem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 appellate proceedings</w:t>
      </w:r>
      <w:r w:rsidR="00DC1F3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the Rector may reduce or waive the fee or defer the payment d</w:t>
      </w:r>
      <w:r w:rsidR="002F047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ue date. The </w:t>
      </w:r>
      <w:r w:rsidR="00A60CC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details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are stipulated in </w:t>
      </w:r>
      <w:r w:rsidR="00DC1F3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 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Rector’s measure. The grounds for reduction, waiver</w:t>
      </w:r>
      <w:r w:rsidR="00DC1F3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or deferral of payment due date are in particular</w:t>
      </w:r>
      <w:r w:rsidR="004C6B2B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:</w:t>
      </w:r>
    </w:p>
    <w:p w:rsidR="004C6B2B" w:rsidRPr="004549C3" w:rsidRDefault="00A215AD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>excellent study, research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 or other creative results achieved in the study in which the decision to assess the fee was issued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C6B2B" w:rsidRPr="004549C3" w:rsidRDefault="00A215AD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completion of a study stay organised or </w:t>
      </w:r>
      <w:r w:rsidR="00851820" w:rsidRPr="004549C3">
        <w:rPr>
          <w:rFonts w:ascii="Times New Roman" w:hAnsi="Times New Roman" w:cs="Times New Roman"/>
          <w:sz w:val="24"/>
          <w:szCs w:val="24"/>
          <w:lang w:val="en-GB"/>
        </w:rPr>
        <w:t>ensured through a faculty or the University at a higher learning institution abroad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C6B2B" w:rsidRPr="004549C3" w:rsidRDefault="00851820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>difficult social circumstances or other serious reasons</w:t>
      </w:r>
      <w:r w:rsidR="00DC1F35">
        <w:rPr>
          <w:rFonts w:ascii="Times New Roman" w:hAnsi="Times New Roman" w:cs="Times New Roman"/>
          <w:sz w:val="24"/>
          <w:szCs w:val="24"/>
          <w:lang w:val="en-GB"/>
        </w:rPr>
        <w:t>; or</w:t>
      </w:r>
      <w:r w:rsidR="00DC1F35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C6B2B" w:rsidRPr="004549C3" w:rsidRDefault="00851820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>other specific grounds.</w:t>
      </w:r>
    </w:p>
    <w:p w:rsidR="004C6B2B" w:rsidRPr="004549C3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</w:p>
    <w:p w:rsidR="004C6B2B" w:rsidRPr="004549C3" w:rsidRDefault="00573DA9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4C6B2B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</w:p>
    <w:p w:rsidR="004C6B2B" w:rsidRPr="004549C3" w:rsidRDefault="00851820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>Fee for Study in a Foreign Language</w:t>
      </w:r>
    </w:p>
    <w:p w:rsidR="004C6B2B" w:rsidRPr="004549C3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</w:p>
    <w:p w:rsidR="004C6B2B" w:rsidRDefault="00851820" w:rsidP="004C6B2B">
      <w:pPr>
        <w:numPr>
          <w:ilvl w:val="0"/>
          <w:numId w:val="1"/>
        </w:numPr>
        <w:shd w:val="clear" w:color="auto" w:fill="FFFFFF"/>
        <w:spacing w:after="0"/>
        <w:ind w:left="714" w:hanging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fee for study in a foreign language in </w:t>
      </w:r>
      <w:r w:rsidR="00DC1F3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 </w:t>
      </w:r>
      <w:r w:rsidR="001A686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achelor’s, </w:t>
      </w:r>
      <w:r w:rsidR="001A686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aster’s</w:t>
      </w:r>
      <w:r w:rsidR="00DC1F3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DC1F3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or</w:t>
      </w:r>
      <w:r w:rsidR="00DC1F35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1A686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octoral study programme for a</w:t>
      </w:r>
      <w:r w:rsidR="00DC1F3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academic year </w:t>
      </w:r>
      <w:r w:rsidR="00DC1F3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begun 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amounts to:</w:t>
      </w:r>
    </w:p>
    <w:p w:rsidR="00C5632C" w:rsidRPr="004549C3" w:rsidRDefault="00C5632C" w:rsidP="00C5632C">
      <w:pPr>
        <w:shd w:val="clear" w:color="auto" w:fill="FFFFFF"/>
        <w:spacing w:after="0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4C6B2B" w:rsidRPr="004549C3" w:rsidRDefault="004C6B2B" w:rsidP="004C6B2B">
      <w:pPr>
        <w:shd w:val="clear" w:color="auto" w:fill="FFFFFF"/>
        <w:spacing w:after="0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768"/>
        <w:gridCol w:w="2097"/>
        <w:gridCol w:w="671"/>
        <w:gridCol w:w="1807"/>
        <w:gridCol w:w="1523"/>
      </w:tblGrid>
      <w:tr w:rsidR="004C6B2B" w:rsidRPr="004549C3" w:rsidTr="00C5632C">
        <w:trPr>
          <w:trHeight w:val="300"/>
          <w:tblHeader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Faculty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Bachelor’s study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Master’s study</w:t>
            </w:r>
            <w:r w:rsidR="004C6B2B" w:rsidRPr="0045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Doctoral study</w:t>
            </w:r>
          </w:p>
        </w:tc>
      </w:tr>
      <w:tr w:rsidR="004C6B2B" w:rsidRPr="004549C3" w:rsidTr="00C5632C">
        <w:trPr>
          <w:trHeight w:val="582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hAnsi="Times New Roman"/>
                <w:szCs w:val="24"/>
                <w:lang w:val="en-GB"/>
              </w:rPr>
              <w:t>Catholic Theological Faculty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2B" w:rsidRPr="004549C3" w:rsidRDefault="00442D5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25,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2B" w:rsidRPr="004549C3" w:rsidRDefault="00442D5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25,000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4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25,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</w:tr>
      <w:tr w:rsidR="004C6B2B" w:rsidRPr="004549C3" w:rsidTr="00C5632C">
        <w:trPr>
          <w:trHeight w:val="372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hAnsi="Times New Roman"/>
                <w:szCs w:val="24"/>
                <w:lang w:val="en-GB"/>
              </w:rPr>
              <w:t>Protestant Theological Faculty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CZK 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</w:t>
            </w: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700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2B" w:rsidRPr="004549C3" w:rsidRDefault="00442D5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25,000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4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25,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</w:tr>
      <w:tr w:rsidR="004C6B2B" w:rsidRPr="004549C3" w:rsidTr="00C5632C">
        <w:trPr>
          <w:trHeight w:val="593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hAnsi="Times New Roman"/>
                <w:szCs w:val="24"/>
                <w:lang w:val="en-GB"/>
              </w:rPr>
              <w:t>Hussite Theological Faculty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E369F5" w:rsidP="0044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2</w:t>
            </w:r>
            <w:r w:rsidR="00442D55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</w:tr>
      <w:tr w:rsidR="004C6B2B" w:rsidRPr="004549C3" w:rsidTr="00C5632C">
        <w:trPr>
          <w:trHeight w:val="653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Faculty of Law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E369F5" w:rsidP="00E36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EUR</w:t>
            </w:r>
            <w:r w:rsidR="00442D55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600</w:t>
            </w:r>
          </w:p>
        </w:tc>
      </w:tr>
      <w:tr w:rsidR="004C6B2B" w:rsidRPr="004549C3" w:rsidTr="00C5632C">
        <w:trPr>
          <w:trHeight w:val="510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hAnsi="Times New Roman"/>
                <w:szCs w:val="24"/>
                <w:lang w:val="en-GB"/>
              </w:rPr>
              <w:t>First Faculty of Medicine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2B" w:rsidRPr="004549C3" w:rsidRDefault="00442D5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Stomatology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CZK 360,</w:t>
            </w:r>
            <w:r w:rsidR="004C6B2B" w:rsidRPr="004549C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5" w:rsidRDefault="00E369F5" w:rsidP="0044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Full-time</w:t>
            </w:r>
          </w:p>
          <w:p w:rsidR="004C6B2B" w:rsidRDefault="00442D55" w:rsidP="00E36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CZK </w:t>
            </w:r>
            <w:r w:rsidR="00E3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150</w:t>
            </w: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  <w:p w:rsidR="00E369F5" w:rsidRDefault="00E369F5" w:rsidP="00E36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  <w:p w:rsidR="00E369F5" w:rsidRDefault="00E369F5" w:rsidP="00E36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Part-time (combined)</w:t>
            </w:r>
          </w:p>
          <w:p w:rsidR="00E369F5" w:rsidRPr="004549C3" w:rsidRDefault="00E369F5" w:rsidP="00E36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0</w:t>
            </w:r>
          </w:p>
        </w:tc>
      </w:tr>
      <w:tr w:rsidR="00E369F5" w:rsidRPr="004549C3" w:rsidTr="00C5632C">
        <w:trPr>
          <w:trHeight w:val="510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5" w:rsidRPr="004549C3" w:rsidRDefault="00E369F5" w:rsidP="00497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5" w:rsidRPr="004549C3" w:rsidRDefault="00E369F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5" w:rsidRPr="00E369F5" w:rsidRDefault="00E369F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3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General Medicine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5" w:rsidRPr="004549C3" w:rsidRDefault="00E369F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E369F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CZK 360,000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5" w:rsidRPr="004549C3" w:rsidRDefault="00E369F5" w:rsidP="0044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4C6B2B" w:rsidRPr="004549C3" w:rsidTr="00C5632C">
        <w:trPr>
          <w:trHeight w:val="375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E369F5" w:rsidRDefault="00E369F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3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The International Master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´s</w:t>
            </w:r>
            <w:r w:rsidRPr="00E3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Programme in Addictions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E369F5" w:rsidP="00E36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E369F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CZK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2</w:t>
            </w:r>
            <w:r w:rsidRPr="00E369F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0,000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4C6B2B" w:rsidRPr="004549C3" w:rsidTr="00FC5971">
        <w:trPr>
          <w:trHeight w:val="548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hAnsi="Times New Roman"/>
                <w:szCs w:val="24"/>
                <w:lang w:val="en-GB"/>
              </w:rPr>
              <w:t>Second Faculty of Medicine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2B" w:rsidRPr="004549C3" w:rsidRDefault="00442D5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General Medicine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C56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3</w:t>
            </w:r>
            <w:r w:rsidR="00C5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</w:t>
            </w: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4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CZK2,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</w:tr>
      <w:tr w:rsidR="004C6B2B" w:rsidRPr="004549C3" w:rsidTr="00FC5971">
        <w:trPr>
          <w:trHeight w:val="533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hAnsi="Times New Roman"/>
                <w:szCs w:val="24"/>
                <w:lang w:val="en-GB"/>
              </w:rPr>
              <w:t>Third Faculty of Medicine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General Medicine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4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330,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4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CZK 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</w:t>
            </w:r>
          </w:p>
        </w:tc>
      </w:tr>
      <w:tr w:rsidR="004C6B2B" w:rsidRPr="004549C3" w:rsidTr="00FC5971">
        <w:trPr>
          <w:trHeight w:val="375"/>
          <w:jc w:val="center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hAnsi="Times New Roman"/>
                <w:szCs w:val="24"/>
                <w:lang w:val="en-GB"/>
              </w:rPr>
              <w:t>Faculty of Medicine in Pilsen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Stomatology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C56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3</w:t>
            </w:r>
            <w:r w:rsidR="00C5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40</w:t>
            </w: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4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2,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</w:tr>
      <w:tr w:rsidR="004C6B2B" w:rsidRPr="004549C3" w:rsidTr="00FC5971">
        <w:trPr>
          <w:trHeight w:val="375"/>
          <w:jc w:val="center"/>
        </w:trPr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General Medicine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C56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CZK </w:t>
            </w:r>
            <w:r w:rsidR="00C5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30</w:t>
            </w: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4C6B2B" w:rsidRPr="004549C3" w:rsidTr="00FC5971">
        <w:trPr>
          <w:trHeight w:val="375"/>
          <w:jc w:val="center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003508" w:rsidP="000035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hAnsi="Times New Roman"/>
                <w:szCs w:val="24"/>
                <w:lang w:val="en-GB"/>
              </w:rPr>
              <w:t>Faculty of Medicine in Hradec Králové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Stomatology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4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340,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0</w:t>
            </w:r>
          </w:p>
        </w:tc>
      </w:tr>
      <w:tr w:rsidR="004C6B2B" w:rsidRPr="004549C3" w:rsidTr="00FC5971">
        <w:trPr>
          <w:trHeight w:val="375"/>
          <w:jc w:val="center"/>
        </w:trPr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General Medicine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4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310,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4C6B2B" w:rsidRPr="004549C3" w:rsidTr="00C5632C">
        <w:trPr>
          <w:trHeight w:val="638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hAnsi="Times New Roman"/>
                <w:szCs w:val="24"/>
                <w:lang w:val="en-GB"/>
              </w:rPr>
              <w:t>Faculty of Pharmacy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4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2B" w:rsidRPr="004549C3" w:rsidRDefault="00442D55" w:rsidP="0044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EUR 7,</w:t>
            </w:r>
            <w:r w:rsidR="004C6B2B" w:rsidRPr="004549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C56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CZK </w:t>
            </w:r>
            <w:r w:rsidR="00C5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</w:t>
            </w:r>
          </w:p>
        </w:tc>
      </w:tr>
      <w:tr w:rsidR="004C6B2B" w:rsidRPr="004549C3" w:rsidTr="00C5632C">
        <w:trPr>
          <w:trHeight w:val="375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hAnsi="Times New Roman"/>
                <w:szCs w:val="24"/>
                <w:lang w:val="en-GB"/>
              </w:rPr>
              <w:t>Faculty of Arts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2B" w:rsidRPr="004549C3" w:rsidRDefault="00442D55" w:rsidP="0044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110,000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2B" w:rsidRPr="004549C3" w:rsidRDefault="00442D5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110,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4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2,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</w:tr>
      <w:tr w:rsidR="004C6B2B" w:rsidRPr="004549C3" w:rsidTr="00C5632C">
        <w:trPr>
          <w:trHeight w:val="630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hAnsi="Times New Roman"/>
                <w:szCs w:val="24"/>
                <w:lang w:val="en-GB"/>
              </w:rPr>
              <w:t>Faculty of Science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2B" w:rsidRPr="004549C3" w:rsidRDefault="002305DB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60,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2B" w:rsidRPr="004549C3" w:rsidRDefault="002305D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60,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2305DB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50,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</w:tr>
      <w:tr w:rsidR="004C6B2B" w:rsidRPr="004549C3" w:rsidTr="00C5632C">
        <w:trPr>
          <w:trHeight w:val="140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hAnsi="Times New Roman"/>
                <w:szCs w:val="24"/>
                <w:lang w:val="en-GB"/>
              </w:rPr>
              <w:t>Faculty of Mathematics and Physics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7E" w:rsidRDefault="00C5632C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EU: </w:t>
            </w:r>
          </w:p>
          <w:p w:rsidR="00C5632C" w:rsidRDefault="002305DB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</w:t>
            </w:r>
            <w:r w:rsidR="00C5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84,000</w:t>
            </w:r>
          </w:p>
          <w:p w:rsidR="0069037E" w:rsidRDefault="00C5632C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Non-EU: </w:t>
            </w:r>
          </w:p>
          <w:p w:rsidR="004C6B2B" w:rsidRPr="004549C3" w:rsidRDefault="00C5632C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</w:t>
            </w:r>
            <w:r w:rsidR="002305D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140,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2C" w:rsidRDefault="00C5632C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EU: CZK 84,000</w:t>
            </w:r>
          </w:p>
          <w:p w:rsidR="004C6B2B" w:rsidRPr="004549C3" w:rsidRDefault="00C5632C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Non-EU: </w:t>
            </w:r>
            <w:r w:rsidR="002305D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140,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Default="002305DB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150,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  <w:p w:rsidR="0069037E" w:rsidRDefault="00C5632C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DS II</w:t>
            </w:r>
            <w:bookmarkStart w:id="1" w:name="_Ref513203004"/>
            <w:r w:rsidRPr="00C56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cs-CZ" w:eastAsia="cs-CZ"/>
              </w:rPr>
              <w:footnoteReference w:id="1"/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  <w:p w:rsidR="00C5632C" w:rsidRPr="004549C3" w:rsidRDefault="00C5632C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75,000</w:t>
            </w:r>
          </w:p>
        </w:tc>
      </w:tr>
      <w:tr w:rsidR="004C6B2B" w:rsidRPr="004549C3" w:rsidTr="00FC5971">
        <w:trPr>
          <w:trHeight w:val="559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hAnsi="Times New Roman"/>
                <w:szCs w:val="24"/>
                <w:lang w:val="en-GB"/>
              </w:rPr>
              <w:t>Faculty of Education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2B" w:rsidRPr="004549C3" w:rsidRDefault="002305DB" w:rsidP="007C3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CZK</w:t>
            </w:r>
            <w:r w:rsidR="008B0E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="007C3A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60</w:t>
            </w:r>
            <w:r w:rsidRPr="004549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,</w:t>
            </w:r>
            <w:r w:rsidR="004C6B2B" w:rsidRPr="004549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2B" w:rsidRPr="004549C3" w:rsidRDefault="002305DB" w:rsidP="007C3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 xml:space="preserve">CZK </w:t>
            </w:r>
            <w:r w:rsidR="007C3A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60</w:t>
            </w:r>
            <w:r w:rsidRPr="004549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,</w:t>
            </w:r>
            <w:r w:rsidR="004C6B2B" w:rsidRPr="004549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7C3A7E" w:rsidP="00690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 xml:space="preserve">CZK </w:t>
            </w:r>
            <w:r w:rsidR="006903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2</w:t>
            </w:r>
            <w:r w:rsidR="002305DB" w:rsidRPr="004549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,</w:t>
            </w:r>
            <w:r w:rsidR="004C6B2B" w:rsidRPr="004549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</w:tr>
      <w:tr w:rsidR="003D1265" w:rsidRPr="004549C3" w:rsidTr="00FC5971">
        <w:trPr>
          <w:trHeight w:val="615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hAnsi="Times New Roman"/>
                <w:szCs w:val="24"/>
                <w:lang w:val="en-GB"/>
              </w:rPr>
              <w:t>Faculty of Social Sciences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EUR 6,000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3D1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Sociology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the </w:t>
            </w: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European Context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65" w:rsidRPr="004549C3" w:rsidRDefault="003D126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EUR 4,000</w:t>
            </w:r>
          </w:p>
          <w:p w:rsidR="003D1265" w:rsidRPr="004549C3" w:rsidRDefault="003D1265" w:rsidP="003D12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EUR 500</w:t>
            </w:r>
          </w:p>
          <w:p w:rsidR="003D1265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  <w:p w:rsidR="003D1265" w:rsidRPr="007C3A7E" w:rsidRDefault="003D1265" w:rsidP="007C3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cs-CZ" w:eastAsia="cs-CZ"/>
              </w:rPr>
            </w:pPr>
            <w:r w:rsidRPr="007C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DSP II</w:t>
            </w:r>
            <w:r w:rsidR="0034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cs-CZ" w:eastAsia="cs-CZ"/>
              </w:rPr>
              <w:t>1</w:t>
            </w:r>
          </w:p>
          <w:p w:rsidR="003D1265" w:rsidRPr="004549C3" w:rsidRDefault="003D1265" w:rsidP="007C3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7C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EUR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 250</w:t>
            </w:r>
          </w:p>
        </w:tc>
      </w:tr>
      <w:tr w:rsidR="003D1265" w:rsidRPr="004549C3" w:rsidTr="00FC5971">
        <w:trPr>
          <w:trHeight w:val="615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497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3D1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3D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International Master in Economy, State and Society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65" w:rsidRPr="003D1265" w:rsidRDefault="003D1265" w:rsidP="003D1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3D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EUR 8,900</w:t>
            </w:r>
          </w:p>
          <w:p w:rsidR="003D1265" w:rsidRPr="004549C3" w:rsidRDefault="003D126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3D1265" w:rsidRPr="004549C3" w:rsidTr="00FC5971">
        <w:trPr>
          <w:trHeight w:val="615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497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Default="003D1265" w:rsidP="008B0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  <w:color w:val="000000"/>
              </w:rPr>
              <w:t>The European Politics and Society (EPS) Václav Havel Programme (</w:t>
            </w:r>
            <w:r w:rsidR="008B0E61">
              <w:rPr>
                <w:rFonts w:ascii="Times New Roman" w:hAnsi="Times New Roman" w:cs="Times New Roman"/>
                <w:color w:val="000000"/>
              </w:rPr>
              <w:t>from</w:t>
            </w:r>
            <w:r w:rsidRPr="00CC11E1">
              <w:rPr>
                <w:rFonts w:ascii="Times New Roman" w:hAnsi="Times New Roman" w:cs="Times New Roman"/>
                <w:color w:val="000000"/>
              </w:rPr>
              <w:t xml:space="preserve"> EU/E</w:t>
            </w:r>
            <w:r w:rsidR="008B0E61">
              <w:rPr>
                <w:rFonts w:ascii="Times New Roman" w:hAnsi="Times New Roman" w:cs="Times New Roman"/>
                <w:color w:val="000000"/>
              </w:rPr>
              <w:t>EA</w:t>
            </w:r>
            <w:r w:rsidRPr="00CC11E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65" w:rsidRDefault="003D1265" w:rsidP="009E1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  <w:color w:val="000000"/>
              </w:rPr>
              <w:t>EUR</w:t>
            </w:r>
            <w:r>
              <w:rPr>
                <w:rFonts w:ascii="Times New Roman" w:hAnsi="Times New Roman" w:cs="Times New Roman"/>
                <w:color w:val="000000"/>
              </w:rPr>
              <w:t xml:space="preserve"> 4</w:t>
            </w:r>
            <w:r w:rsidR="009E1FE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3D1265" w:rsidRPr="004549C3" w:rsidTr="00FC5971">
        <w:trPr>
          <w:trHeight w:val="615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497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Default="003D1265" w:rsidP="008B0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>The European Politics and Society (EPS) Václav Havel Programme (</w:t>
            </w:r>
            <w:r w:rsidR="008B0E61">
              <w:rPr>
                <w:rFonts w:ascii="Times New Roman" w:hAnsi="Times New Roman" w:cs="Times New Roman"/>
              </w:rPr>
              <w:t>non</w:t>
            </w:r>
            <w:r w:rsidRPr="00CC11E1">
              <w:rPr>
                <w:rFonts w:ascii="Times New Roman" w:hAnsi="Times New Roman" w:cs="Times New Roman"/>
              </w:rPr>
              <w:t xml:space="preserve"> EU/</w:t>
            </w:r>
            <w:r w:rsidR="008B0E61" w:rsidRPr="008B0E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0E61" w:rsidRPr="008B0E61">
              <w:rPr>
                <w:rFonts w:ascii="Times New Roman" w:hAnsi="Times New Roman" w:cs="Times New Roman"/>
              </w:rPr>
              <w:t>EEA</w:t>
            </w:r>
            <w:r w:rsidRPr="00CC11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65" w:rsidRDefault="003D1265" w:rsidP="009E1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3D1265">
              <w:rPr>
                <w:rFonts w:ascii="Times New Roman" w:hAnsi="Times New Roman" w:cs="Times New Roman"/>
              </w:rPr>
              <w:t xml:space="preserve">EUR </w:t>
            </w:r>
            <w:r w:rsidRPr="00CC11E1">
              <w:rPr>
                <w:rFonts w:ascii="Times New Roman" w:hAnsi="Times New Roman" w:cs="Times New Roman"/>
              </w:rPr>
              <w:t>8</w:t>
            </w:r>
            <w:r w:rsidR="009E1FE8">
              <w:rPr>
                <w:rFonts w:ascii="Times New Roman" w:hAnsi="Times New Roman" w:cs="Times New Roman"/>
              </w:rPr>
              <w:t>,</w:t>
            </w:r>
            <w:r w:rsidRPr="00CC11E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3D1265" w:rsidRPr="004549C3" w:rsidTr="00FC5971">
        <w:trPr>
          <w:trHeight w:val="615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497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Default="003D1265" w:rsidP="008B0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>Master in Area Studies (</w:t>
            </w:r>
            <w:r w:rsidR="008B0E61">
              <w:rPr>
                <w:rFonts w:ascii="Times New Roman" w:hAnsi="Times New Roman" w:cs="Times New Roman"/>
              </w:rPr>
              <w:t>from</w:t>
            </w:r>
            <w:r w:rsidRPr="00CC11E1">
              <w:rPr>
                <w:rFonts w:ascii="Times New Roman" w:hAnsi="Times New Roman" w:cs="Times New Roman"/>
              </w:rPr>
              <w:t> EU/</w:t>
            </w:r>
            <w:r w:rsidR="008B0E61" w:rsidRPr="008B0E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0E61" w:rsidRPr="008B0E61">
              <w:rPr>
                <w:rFonts w:ascii="Times New Roman" w:hAnsi="Times New Roman" w:cs="Times New Roman"/>
              </w:rPr>
              <w:t>EEA</w:t>
            </w:r>
            <w:r w:rsidRPr="00CC11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65" w:rsidRDefault="003D1265" w:rsidP="009E1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3D1265">
              <w:rPr>
                <w:rFonts w:ascii="Times New Roman" w:hAnsi="Times New Roman" w:cs="Times New Roman"/>
              </w:rPr>
              <w:t xml:space="preserve">EUR </w:t>
            </w:r>
            <w:r w:rsidRPr="00CC11E1">
              <w:rPr>
                <w:rFonts w:ascii="Times New Roman" w:hAnsi="Times New Roman" w:cs="Times New Roman"/>
              </w:rPr>
              <w:t>3</w:t>
            </w:r>
            <w:r w:rsidR="009E1FE8">
              <w:rPr>
                <w:rFonts w:ascii="Times New Roman" w:hAnsi="Times New Roman" w:cs="Times New Roman"/>
              </w:rPr>
              <w:t>,</w:t>
            </w:r>
            <w:r w:rsidRPr="00CC11E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3D1265" w:rsidRPr="004549C3" w:rsidTr="00FC5971">
        <w:trPr>
          <w:trHeight w:val="615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497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Default="003D1265" w:rsidP="008B0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>Master in Area Studies (</w:t>
            </w:r>
            <w:r w:rsidR="008B0E61">
              <w:rPr>
                <w:rFonts w:ascii="Times New Roman" w:hAnsi="Times New Roman" w:cs="Times New Roman"/>
              </w:rPr>
              <w:t>non</w:t>
            </w:r>
            <w:r w:rsidRPr="00CC11E1">
              <w:rPr>
                <w:rFonts w:ascii="Times New Roman" w:hAnsi="Times New Roman" w:cs="Times New Roman"/>
              </w:rPr>
              <w:t> EU/</w:t>
            </w:r>
            <w:r w:rsidR="008B0E61" w:rsidRPr="008B0E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0E61" w:rsidRPr="008B0E61">
              <w:rPr>
                <w:rFonts w:ascii="Times New Roman" w:hAnsi="Times New Roman" w:cs="Times New Roman"/>
              </w:rPr>
              <w:t>EEA</w:t>
            </w:r>
            <w:r w:rsidRPr="00CC11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65" w:rsidRDefault="003D1265" w:rsidP="009E1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3D1265">
              <w:rPr>
                <w:rFonts w:ascii="Times New Roman" w:hAnsi="Times New Roman" w:cs="Times New Roman"/>
              </w:rPr>
              <w:t xml:space="preserve">EUR </w:t>
            </w:r>
            <w:r>
              <w:rPr>
                <w:rFonts w:ascii="Times New Roman" w:hAnsi="Times New Roman" w:cs="Times New Roman"/>
              </w:rPr>
              <w:t>6</w:t>
            </w:r>
            <w:r w:rsidR="009E1F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3D1265" w:rsidRPr="004549C3" w:rsidTr="00FC5971">
        <w:trPr>
          <w:trHeight w:val="615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497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Default="003D1265" w:rsidP="008B0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>Balkan, Eurasian and Central European Studies (</w:t>
            </w:r>
            <w:r w:rsidR="008B0E61">
              <w:rPr>
                <w:rFonts w:ascii="Times New Roman" w:hAnsi="Times New Roman" w:cs="Times New Roman"/>
              </w:rPr>
              <w:t>from</w:t>
            </w:r>
            <w:r w:rsidRPr="00CC11E1">
              <w:rPr>
                <w:rFonts w:ascii="Times New Roman" w:hAnsi="Times New Roman" w:cs="Times New Roman"/>
              </w:rPr>
              <w:t> EU/</w:t>
            </w:r>
            <w:r w:rsidR="008B0E61" w:rsidRPr="008B0E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0E61" w:rsidRPr="008B0E61">
              <w:rPr>
                <w:rFonts w:ascii="Times New Roman" w:hAnsi="Times New Roman" w:cs="Times New Roman"/>
              </w:rPr>
              <w:t>EEA</w:t>
            </w:r>
            <w:r w:rsidRPr="00CC11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65" w:rsidRDefault="003D1265" w:rsidP="009E1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3D1265">
              <w:rPr>
                <w:rFonts w:ascii="Times New Roman" w:hAnsi="Times New Roman" w:cs="Times New Roman"/>
              </w:rPr>
              <w:t xml:space="preserve">EUR </w:t>
            </w:r>
            <w:r w:rsidRPr="00CC11E1">
              <w:rPr>
                <w:rFonts w:ascii="Times New Roman" w:hAnsi="Times New Roman" w:cs="Times New Roman"/>
              </w:rPr>
              <w:t>3</w:t>
            </w:r>
            <w:r w:rsidR="009E1FE8">
              <w:rPr>
                <w:rFonts w:ascii="Times New Roman" w:hAnsi="Times New Roman" w:cs="Times New Roman"/>
              </w:rPr>
              <w:t>,</w:t>
            </w:r>
            <w:r w:rsidRPr="00CC11E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3D1265" w:rsidRPr="004549C3" w:rsidTr="00FC5971">
        <w:trPr>
          <w:trHeight w:val="615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497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Default="003D1265" w:rsidP="008B0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C11E1">
              <w:rPr>
                <w:rFonts w:ascii="Times New Roman" w:hAnsi="Times New Roman" w:cs="Times New Roman"/>
              </w:rPr>
              <w:t>Balkan, Eurasian and Central European Studies (</w:t>
            </w:r>
            <w:r w:rsidR="008B0E61">
              <w:rPr>
                <w:rFonts w:ascii="Times New Roman" w:hAnsi="Times New Roman" w:cs="Times New Roman"/>
              </w:rPr>
              <w:t>non</w:t>
            </w:r>
            <w:r w:rsidRPr="00CC11E1">
              <w:rPr>
                <w:rFonts w:ascii="Times New Roman" w:hAnsi="Times New Roman" w:cs="Times New Roman"/>
              </w:rPr>
              <w:t> EU/</w:t>
            </w:r>
            <w:r w:rsidR="008B0E61" w:rsidRPr="008B0E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0E61" w:rsidRPr="008B0E61">
              <w:rPr>
                <w:rFonts w:ascii="Times New Roman" w:hAnsi="Times New Roman" w:cs="Times New Roman"/>
              </w:rPr>
              <w:t>EEA</w:t>
            </w:r>
            <w:r w:rsidRPr="00CC11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65" w:rsidRDefault="003D1265" w:rsidP="009E1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3D1265">
              <w:rPr>
                <w:rFonts w:ascii="Times New Roman" w:hAnsi="Times New Roman" w:cs="Times New Roman"/>
              </w:rPr>
              <w:t xml:space="preserve">EUR </w:t>
            </w:r>
            <w:r>
              <w:rPr>
                <w:rFonts w:ascii="Times New Roman" w:hAnsi="Times New Roman" w:cs="Times New Roman"/>
              </w:rPr>
              <w:t>6</w:t>
            </w:r>
            <w:r w:rsidR="009E1F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3D1265" w:rsidRPr="004549C3" w:rsidTr="00FC5971">
        <w:trPr>
          <w:trHeight w:val="615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497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3D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Other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65" w:rsidRPr="004549C3" w:rsidRDefault="003D126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3D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EUR 6,000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65" w:rsidRPr="004549C3" w:rsidRDefault="003D1265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4C6B2B" w:rsidRPr="004549C3" w:rsidTr="00FC5971">
        <w:trPr>
          <w:trHeight w:val="615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003508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hAnsi="Times New Roman"/>
                <w:szCs w:val="24"/>
                <w:lang w:val="en-GB"/>
              </w:rPr>
              <w:t>Faculty of Physical Education and Sport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E96B1E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Physical Education and Sports </w:t>
            </w:r>
            <w:r w:rsidR="002305D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CZK160,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851820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Physical Education and Sport</w:t>
            </w:r>
            <w:r w:rsidR="00FC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2305DB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160,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2305DB" w:rsidP="00FC59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CZK </w:t>
            </w:r>
            <w:r w:rsidR="008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9</w:t>
            </w: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</w:tr>
      <w:tr w:rsidR="008B0E61" w:rsidRPr="004549C3" w:rsidTr="00FC5971">
        <w:trPr>
          <w:trHeight w:val="615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1" w:rsidRPr="004549C3" w:rsidRDefault="008B0E61" w:rsidP="00497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1" w:rsidRPr="004549C3" w:rsidRDefault="00FC5971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Trainer (coach)</w:t>
            </w:r>
            <w:r w:rsidR="008B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CZK 160,000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1" w:rsidRPr="004549C3" w:rsidRDefault="008B0E61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1" w:rsidRPr="004549C3" w:rsidRDefault="008B0E61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1" w:rsidRPr="004549C3" w:rsidRDefault="008B0E61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8B0E61" w:rsidRPr="004549C3" w:rsidTr="00FC5971">
        <w:trPr>
          <w:trHeight w:val="615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1" w:rsidRPr="004549C3" w:rsidRDefault="008B0E61" w:rsidP="00497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1" w:rsidRDefault="00FC5971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Fitness trainer</w:t>
            </w:r>
          </w:p>
          <w:p w:rsidR="00FC5971" w:rsidRDefault="00FC5971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160,000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1" w:rsidRPr="004549C3" w:rsidRDefault="008B0E61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1" w:rsidRPr="004549C3" w:rsidRDefault="008B0E61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61" w:rsidRPr="004549C3" w:rsidRDefault="008B0E61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4C6B2B" w:rsidRPr="004549C3" w:rsidTr="00FC5971">
        <w:trPr>
          <w:trHeight w:val="552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71" w:rsidRDefault="00FC5971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FC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Specializations in Health Service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</w:t>
            </w:r>
            <w:r w:rsidRPr="00FC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  <w:p w:rsidR="004C6B2B" w:rsidRPr="004549C3" w:rsidRDefault="002305DB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220,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851820" w:rsidP="00F056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Specialization</w:t>
            </w:r>
            <w:r w:rsidR="00F056B2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</w:t>
            </w: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in </w:t>
            </w:r>
            <w:r w:rsidR="00F056B2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Health Service</w:t>
            </w:r>
            <w:r w:rsidR="00FC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</w:t>
            </w: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2305DB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CZK 220,</w:t>
            </w:r>
            <w:r w:rsidR="004C6B2B"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4C6B2B" w:rsidRPr="004549C3" w:rsidTr="00FC5971">
        <w:trPr>
          <w:trHeight w:val="488"/>
          <w:jc w:val="center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442D55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hAnsi="Times New Roman"/>
                <w:szCs w:val="24"/>
                <w:lang w:val="en-GB"/>
              </w:rPr>
              <w:t>Faculty of Humanities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B2B" w:rsidRPr="004549C3" w:rsidRDefault="00FC5971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EUR 2,000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2305D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in English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FC5971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FC59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EUR 2,000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FC5971" w:rsidP="002305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FC59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EUR 2,000</w:t>
            </w:r>
          </w:p>
        </w:tc>
      </w:tr>
      <w:tr w:rsidR="004C6B2B" w:rsidRPr="004549C3" w:rsidTr="00FC5971">
        <w:trPr>
          <w:trHeight w:val="548"/>
          <w:jc w:val="center"/>
        </w:trPr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2305D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45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in German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2B" w:rsidRPr="004549C3" w:rsidRDefault="00FC5971" w:rsidP="00FC5971">
            <w:pPr>
              <w:pStyle w:val="Odstavecseseznamem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FC59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cs-CZ"/>
              </w:rPr>
              <w:t>UR 200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2B" w:rsidRPr="004549C3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</w:tbl>
    <w:p w:rsidR="004C6B2B" w:rsidRPr="004549C3" w:rsidRDefault="004C6B2B" w:rsidP="004C6B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4C6B2B" w:rsidRPr="004549C3" w:rsidRDefault="00F056B2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fee becomes payable on the </w:t>
      </w:r>
      <w:r w:rsidR="00FC597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fifteenth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day after </w:t>
      </w:r>
      <w:r w:rsidRPr="00D332B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date of legal force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of the decision to </w:t>
      </w:r>
      <w:r w:rsidR="00E220F2" w:rsidRPr="005108B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assess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the fee.</w:t>
      </w:r>
    </w:p>
    <w:p w:rsidR="004C6B2B" w:rsidRPr="004549C3" w:rsidRDefault="00F056B2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 appellate proceedings</w:t>
      </w:r>
      <w:r w:rsidR="00DC1F3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the Rector may reduce or waive the fee or defer the payment d</w:t>
      </w:r>
      <w:r w:rsidR="002F047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ue date. The </w:t>
      </w:r>
      <w:r w:rsidR="00A60CC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details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are stipulated in </w:t>
      </w:r>
      <w:r w:rsidR="00DC1F3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 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Rector’s measure. Article 3 (5) letters a), c), d) apply by analogy to </w:t>
      </w:r>
      <w:r w:rsidR="00DC1F3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 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reduction, waiver</w:t>
      </w:r>
      <w:r w:rsidR="00DC1F3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or deferral of </w:t>
      </w:r>
      <w:r w:rsidR="00DC1F3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due date.</w:t>
      </w:r>
    </w:p>
    <w:p w:rsidR="004C6B2B" w:rsidRPr="004549C3" w:rsidRDefault="00F056B2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If the University or a faculty </w:t>
      </w:r>
      <w:r w:rsidR="00873FD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have 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entered into a contract with a foreign higher education institution on mutual provision of higher education free of charge, </w:t>
      </w:r>
      <w:r w:rsidR="00773CD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parties proceed in accordance with th</w:t>
      </w:r>
      <w:r w:rsidR="00873FD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at</w:t>
      </w:r>
      <w:r w:rsidR="00773CD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contract.</w:t>
      </w:r>
    </w:p>
    <w:p w:rsidR="004C6B2B" w:rsidRPr="004549C3" w:rsidRDefault="004C6B2B" w:rsidP="004C6B2B">
      <w:pPr>
        <w:pStyle w:val="Odstavecseseznamem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4C6B2B" w:rsidRPr="004549C3" w:rsidRDefault="00573DA9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4C6B2B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 5</w:t>
      </w:r>
    </w:p>
    <w:p w:rsidR="004C6B2B" w:rsidRPr="004549C3" w:rsidRDefault="00773CDC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Proceedings to Assess the Fee for Longer Study and the Fee for Study in a Foreign Language </w:t>
      </w:r>
    </w:p>
    <w:p w:rsidR="004C6B2B" w:rsidRPr="004549C3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</w:p>
    <w:p w:rsidR="004C6B2B" w:rsidRPr="004549C3" w:rsidRDefault="00495318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513247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decision to assess the fee for longer study is made in the first instance by the Rector.</w:t>
      </w:r>
    </w:p>
    <w:p w:rsidR="004C6B2B" w:rsidRPr="004549C3" w:rsidRDefault="00495318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513247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decision to assess the fee for study in a foreign language is made in the first instance by the dean.</w:t>
      </w:r>
    </w:p>
    <w:p w:rsidR="004C6B2B" w:rsidRPr="004549C3" w:rsidRDefault="00873FD3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An</w:t>
      </w:r>
      <w:r w:rsidR="00513247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appeal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against the</w:t>
      </w:r>
      <w:r w:rsidR="00495318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513247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decision to </w:t>
      </w:r>
      <w:r w:rsidR="00E220F2" w:rsidRPr="005108B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assess</w:t>
      </w:r>
      <w:r w:rsidR="00513247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 fee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may be lodged </w:t>
      </w:r>
      <w:r w:rsidR="00513247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within thirty days of the notification. </w:t>
      </w:r>
    </w:p>
    <w:p w:rsidR="004C6B2B" w:rsidRPr="00C1377B" w:rsidRDefault="00513247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appeal must clearly state who appeal</w:t>
      </w:r>
      <w:r w:rsidR="00873FD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</w:t>
      </w:r>
      <w:r w:rsidR="0096626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the matter concerned</w:t>
      </w:r>
      <w:r w:rsidR="005E41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 w:rsidR="0096626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what is </w:t>
      </w:r>
      <w:r w:rsidR="00873FD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requested</w:t>
      </w:r>
      <w:r w:rsidR="0096626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 Further</w:t>
      </w:r>
      <w:r w:rsidR="005E41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 w:rsidR="0096626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it is necessary to state the name, surname, date of birth</w:t>
      </w:r>
      <w:r w:rsidR="005E41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 w:rsidR="0096626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</w:t>
      </w:r>
      <w:r w:rsidR="005E41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permanent </w:t>
      </w:r>
      <w:r w:rsidR="0096626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address of the appellant, or other </w:t>
      </w:r>
      <w:r w:rsidR="00873FD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mailing </w:t>
      </w:r>
      <w:r w:rsidR="0096626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address. The appeal must contain the details of the person </w:t>
      </w:r>
      <w:r w:rsid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filing </w:t>
      </w:r>
      <w:r w:rsidR="0096626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appeal</w:t>
      </w:r>
      <w:r w:rsidR="005108B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;</w:t>
      </w:r>
      <w:r w:rsidR="005108B7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0C3B9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person to </w:t>
      </w:r>
      <w:r w:rsidR="0096626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who</w:t>
      </w:r>
      <w:r w:rsidR="000C3B9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</w:t>
      </w:r>
      <w:r w:rsidR="0096626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it</w:t>
      </w:r>
      <w:r w:rsidR="000C3B9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is addressed</w:t>
      </w:r>
      <w:r w:rsidR="005108B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;</w:t>
      </w:r>
      <w:r w:rsidR="005108B7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5E41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r w:rsidR="0096626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decision </w:t>
      </w:r>
      <w:r w:rsidR="000C3B9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that is </w:t>
      </w:r>
      <w:r w:rsidR="005E41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being </w:t>
      </w:r>
      <w:r w:rsidR="000C3B9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appealed</w:t>
      </w:r>
      <w:r w:rsidR="005108B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;</w:t>
      </w:r>
      <w:r w:rsidR="005108B7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96626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what is perceived as contradictory to legal or internal regulations or </w:t>
      </w:r>
      <w:r w:rsidR="000C3B9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as </w:t>
      </w:r>
      <w:r w:rsidR="005108B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erroneous in</w:t>
      </w:r>
      <w:r w:rsidR="005108B7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5E415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r w:rsidR="0096626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decision or proceedings preceding the issuing of the decision</w:t>
      </w:r>
      <w:r w:rsidR="005108B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;</w:t>
      </w:r>
      <w:r w:rsidR="005108B7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96626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and the signature of</w:t>
      </w:r>
      <w:r w:rsidR="000C3B9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the person </w:t>
      </w:r>
      <w:r w:rsid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filing </w:t>
      </w:r>
      <w:r w:rsidR="0096626C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appeal</w:t>
      </w:r>
      <w:r w:rsidR="004C6B2B" w:rsidRP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  <w:r w:rsidR="004C6B2B" w:rsidRPr="00C1377B">
        <w:rPr>
          <w:rStyle w:val="Znakapoznpodarou"/>
          <w:rFonts w:ascii="Times New Roman" w:eastAsia="Times New Roman" w:hAnsi="Times New Roman" w:cs="Times New Roman"/>
          <w:sz w:val="24"/>
          <w:szCs w:val="24"/>
          <w:lang w:val="en-GB" w:eastAsia="cs-CZ"/>
        </w:rPr>
        <w:footnoteReference w:id="2"/>
      </w:r>
      <w:r w:rsidR="004C6B2B" w:rsidRPr="00C1377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cs-CZ"/>
        </w:rPr>
        <w:t>)</w:t>
      </w:r>
    </w:p>
    <w:p w:rsidR="004C6B2B" w:rsidRPr="00C1377B" w:rsidRDefault="000C3B9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appellate</w:t>
      </w:r>
      <w:r w:rsidR="0096626C" w:rsidRP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body is the Rector. </w:t>
      </w:r>
      <w:r w:rsidR="00BC6ACC" w:rsidRP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appeal is </w:t>
      </w:r>
      <w:r w:rsidR="0034417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filed with </w:t>
      </w:r>
      <w:r w:rsidR="00BC6ACC" w:rsidRP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dean or the Rector</w:t>
      </w:r>
      <w:r w:rsidR="0034417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is considered to be made on the date when it is brought to the attention of the dean or the Rector. </w:t>
      </w:r>
      <w:r w:rsidR="00D340A8" w:rsidRP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r w:rsidR="00C1377B" w:rsidRP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deadline has been met </w:t>
      </w:r>
      <w:r w:rsidR="00D340A8" w:rsidRP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if the </w:t>
      </w:r>
      <w:r w:rsidR="00C1377B" w:rsidRP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letter </w:t>
      </w:r>
      <w:r w:rsidR="00D340A8" w:rsidRP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addressed to the dean or the Rector containing the appeal is submitted to the postal </w:t>
      </w:r>
      <w:r w:rsidR="00C1377B" w:rsidRP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service operator</w:t>
      </w:r>
      <w:r w:rsidR="00D340A8" w:rsidRPr="00C1377B">
        <w:rPr>
          <w:rStyle w:val="Znakapoznpodarou"/>
          <w:rFonts w:ascii="Times New Roman" w:eastAsia="Times New Roman" w:hAnsi="Times New Roman" w:cs="Times New Roman"/>
          <w:sz w:val="24"/>
          <w:szCs w:val="24"/>
          <w:lang w:val="en-GB" w:eastAsia="cs-CZ"/>
        </w:rPr>
        <w:footnoteReference w:id="3"/>
      </w:r>
      <w:r w:rsidR="00D340A8" w:rsidRPr="00C1377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cs-CZ"/>
        </w:rPr>
        <w:t xml:space="preserve">) </w:t>
      </w:r>
      <w:r w:rsidR="00D340A8" w:rsidRP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on the last day of the </w:t>
      </w:r>
      <w:r w:rsidR="00C1377B" w:rsidRP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deadline</w:t>
      </w:r>
      <w:r w:rsidR="002F047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4C6B2B" w:rsidRPr="004549C3" w:rsidRDefault="00AC316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r w:rsidR="00D05449" w:rsidRPr="00C1377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Rector’s advisory committee is established for the purposes</w:t>
      </w:r>
      <w:r w:rsidR="00D05449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of consideration of applications to reduce, waive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 w:rsidR="00D05449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or defer the payment due date in appellate proceedings. The members of this committee are appointed by the Rector. The committee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’s</w:t>
      </w:r>
      <w:r w:rsidR="00D05449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recommendations on individual appeals are submitted to the Rector.</w:t>
      </w:r>
    </w:p>
    <w:p w:rsidR="004C6B2B" w:rsidRPr="004549C3" w:rsidRDefault="00D05449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Rector may waive the fee for longer study or study in a foreign language if it was caused in connection with </w:t>
      </w:r>
      <w:r w:rsidR="00AC31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 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delay in proceedings before a body of the first or second instance or in connection with </w:t>
      </w:r>
      <w:r w:rsidR="00AC31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rendering </w:t>
      </w:r>
      <w:r w:rsidR="00AC31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of an 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unlawful decision.</w:t>
      </w:r>
    </w:p>
    <w:p w:rsidR="004C6B2B" w:rsidRPr="004549C3" w:rsidRDefault="008334DE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 decision to </w:t>
      </w:r>
      <w:r w:rsidR="00E220F2" w:rsidRPr="005108B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assess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 fee that was notified and</w:t>
      </w:r>
      <w:r w:rsidR="000C3B9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5C7E6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against which no appeal lies 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is </w:t>
      </w:r>
      <w:r w:rsidRPr="003F576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 legal force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is binding on the </w:t>
      </w:r>
      <w:r w:rsidR="005C7E6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party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5C7E6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to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the proceedings and the </w:t>
      </w:r>
      <w:r w:rsidR="005C7E6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respective 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administrative bodies.</w:t>
      </w:r>
    </w:p>
    <w:p w:rsidR="004C6B2B" w:rsidRPr="004549C3" w:rsidRDefault="008334DE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decision is enforceable on the date of </w:t>
      </w:r>
      <w:r w:rsidRPr="003F576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coming into </w:t>
      </w:r>
      <w:r w:rsidR="003F576F" w:rsidRPr="003F576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legal </w:t>
      </w:r>
      <w:r w:rsidRPr="003F576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force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or on a later date </w:t>
      </w:r>
      <w:r w:rsidR="003F576F" w:rsidRPr="003F576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provided in the </w:t>
      </w:r>
      <w:r w:rsidR="005C7E6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holding</w:t>
      </w:r>
      <w:r w:rsidRPr="003F576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of the decision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r w:rsidR="00AC31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 d</w:t>
      </w:r>
      <w:r w:rsidR="00AC316B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ecision 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imposing a duty to perform becomes enforceable if it </w:t>
      </w:r>
      <w:r w:rsidRPr="003F576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is in legal force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if the </w:t>
      </w:r>
      <w:r w:rsidR="00E220F2" w:rsidRPr="005108B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time limit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to perform the duty </w:t>
      </w:r>
      <w:r w:rsidR="005108B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has </w:t>
      </w: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elapsed. </w:t>
      </w:r>
    </w:p>
    <w:p w:rsidR="004C6B2B" w:rsidRPr="004549C3" w:rsidRDefault="004C6B2B" w:rsidP="004C6B2B">
      <w:pPr>
        <w:pStyle w:val="Odstavecseseznamem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4C6B2B" w:rsidRPr="004549C3" w:rsidRDefault="00573DA9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4C6B2B" w:rsidRPr="004549C3">
        <w:rPr>
          <w:rFonts w:ascii="Times New Roman" w:hAnsi="Times New Roman" w:cs="Times New Roman"/>
          <w:sz w:val="24"/>
          <w:szCs w:val="24"/>
          <w:lang w:val="en-GB"/>
        </w:rPr>
        <w:t xml:space="preserve"> 6</w:t>
      </w:r>
    </w:p>
    <w:p w:rsidR="004C6B2B" w:rsidRPr="004549C3" w:rsidRDefault="008334DE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hAnsi="Times New Roman" w:cs="Times New Roman"/>
          <w:sz w:val="24"/>
          <w:szCs w:val="24"/>
          <w:lang w:val="en-GB"/>
        </w:rPr>
        <w:t>Form of Payment of Fees for Study</w:t>
      </w:r>
    </w:p>
    <w:p w:rsidR="004C6B2B" w:rsidRPr="004549C3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en-GB"/>
        </w:rPr>
      </w:pPr>
    </w:p>
    <w:p w:rsidR="004C6B2B" w:rsidRPr="004549C3" w:rsidRDefault="008334DE" w:rsidP="004C6B2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Fees for study are paid </w:t>
      </w:r>
      <w:r w:rsidR="00F162E6" w:rsidRPr="004549C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by transfer to the bank account of the University.</w:t>
      </w:r>
    </w:p>
    <w:p w:rsidR="004C6B2B" w:rsidRDefault="004C6B2B" w:rsidP="004C6B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C7E67" w:rsidRDefault="005C7E67" w:rsidP="004C6B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C7E67" w:rsidRPr="00C24637" w:rsidRDefault="005C7E67" w:rsidP="00C246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24637">
        <w:rPr>
          <w:rFonts w:ascii="Times New Roman" w:hAnsi="Times New Roman" w:cs="Times New Roman"/>
          <w:b/>
          <w:sz w:val="24"/>
          <w:szCs w:val="24"/>
          <w:lang w:val="en-GB"/>
        </w:rPr>
        <w:t>***</w:t>
      </w:r>
    </w:p>
    <w:p w:rsidR="005C7E67" w:rsidRPr="00C24637" w:rsidRDefault="005C7E67" w:rsidP="00C246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C7E67" w:rsidRPr="00C24637" w:rsidRDefault="005C7E67" w:rsidP="00C246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24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Transitional provision regarding changes </w:t>
      </w:r>
      <w:r w:rsidR="00C24637" w:rsidRPr="00C24637">
        <w:rPr>
          <w:rFonts w:ascii="Times New Roman" w:hAnsi="Times New Roman" w:cs="Times New Roman"/>
          <w:b/>
          <w:sz w:val="24"/>
          <w:szCs w:val="24"/>
          <w:lang w:val="en-GB"/>
        </w:rPr>
        <w:t>No. 4 of the Appendix No. 2 to the Constitution of Charles University</w:t>
      </w:r>
    </w:p>
    <w:p w:rsidR="004C6B2B" w:rsidRPr="004549C3" w:rsidRDefault="004C6B2B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</w:p>
    <w:p w:rsidR="0054295F" w:rsidRPr="004549C3" w:rsidRDefault="00C24637" w:rsidP="0054295F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t xml:space="preserve">Fees for study in a foreign language in the academic year when the changes herein became legally effective, and in the preceding academic years are subject to provisions of Appendix No. 2 to the Constitution of Charles University as applicable before the date of effect of the changes herein. </w:t>
      </w:r>
    </w:p>
    <w:sectPr w:rsidR="0054295F" w:rsidRPr="004549C3" w:rsidSect="00DC33A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61" w:rsidRDefault="00546361" w:rsidP="007856FC">
      <w:pPr>
        <w:spacing w:after="0" w:line="240" w:lineRule="auto"/>
      </w:pPr>
      <w:r>
        <w:separator/>
      </w:r>
    </w:p>
  </w:endnote>
  <w:endnote w:type="continuationSeparator" w:id="0">
    <w:p w:rsidR="00546361" w:rsidRDefault="00546361" w:rsidP="0078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7" w:rsidRDefault="00680FC3" w:rsidP="002E2DB9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C18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1897" w:rsidRDefault="000C18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7" w:rsidRPr="000C1897" w:rsidRDefault="00680FC3" w:rsidP="002E2DB9">
    <w:pPr>
      <w:pStyle w:val="Zpat"/>
      <w:framePr w:wrap="none" w:vAnchor="text" w:hAnchor="margin" w:xAlign="center" w:y="1"/>
      <w:rPr>
        <w:rStyle w:val="slostrnky"/>
        <w:rFonts w:ascii="Times New Roman" w:hAnsi="Times New Roman" w:cs="Times New Roman"/>
      </w:rPr>
    </w:pPr>
    <w:r w:rsidRPr="000C1897">
      <w:rPr>
        <w:rStyle w:val="slostrnky"/>
        <w:rFonts w:ascii="Times New Roman" w:hAnsi="Times New Roman" w:cs="Times New Roman"/>
      </w:rPr>
      <w:fldChar w:fldCharType="begin"/>
    </w:r>
    <w:r w:rsidR="000C1897" w:rsidRPr="000C1897">
      <w:rPr>
        <w:rStyle w:val="slostrnky"/>
        <w:rFonts w:ascii="Times New Roman" w:hAnsi="Times New Roman" w:cs="Times New Roman"/>
      </w:rPr>
      <w:instrText xml:space="preserve">PAGE  </w:instrText>
    </w:r>
    <w:r w:rsidRPr="000C1897">
      <w:rPr>
        <w:rStyle w:val="slostrnky"/>
        <w:rFonts w:ascii="Times New Roman" w:hAnsi="Times New Roman" w:cs="Times New Roman"/>
      </w:rPr>
      <w:fldChar w:fldCharType="separate"/>
    </w:r>
    <w:r w:rsidR="00FC1E30">
      <w:rPr>
        <w:rStyle w:val="slostrnky"/>
        <w:rFonts w:ascii="Times New Roman" w:hAnsi="Times New Roman" w:cs="Times New Roman"/>
        <w:noProof/>
      </w:rPr>
      <w:t>1</w:t>
    </w:r>
    <w:r w:rsidRPr="000C1897">
      <w:rPr>
        <w:rStyle w:val="slostrnky"/>
        <w:rFonts w:ascii="Times New Roman" w:hAnsi="Times New Roman" w:cs="Times New Roman"/>
      </w:rPr>
      <w:fldChar w:fldCharType="end"/>
    </w:r>
  </w:p>
  <w:p w:rsidR="000C1897" w:rsidRDefault="000C18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61" w:rsidRDefault="00546361" w:rsidP="007856FC">
      <w:pPr>
        <w:spacing w:after="0" w:line="240" w:lineRule="auto"/>
      </w:pPr>
      <w:r>
        <w:separator/>
      </w:r>
    </w:p>
  </w:footnote>
  <w:footnote w:type="continuationSeparator" w:id="0">
    <w:p w:rsidR="00546361" w:rsidRDefault="00546361" w:rsidP="007856FC">
      <w:pPr>
        <w:spacing w:after="0" w:line="240" w:lineRule="auto"/>
      </w:pPr>
      <w:r>
        <w:continuationSeparator/>
      </w:r>
    </w:p>
  </w:footnote>
  <w:footnote w:id="1">
    <w:p w:rsidR="00C5632C" w:rsidRDefault="00C5632C" w:rsidP="00C5632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The doctoral </w:t>
      </w:r>
      <w:r w:rsidRPr="007C3A7E">
        <w:rPr>
          <w:lang w:val="en-GB"/>
        </w:rPr>
        <w:t>programme commencing in the middle of an academic year</w:t>
      </w:r>
      <w:r w:rsidR="007C3A7E" w:rsidRPr="007C3A7E">
        <w:rPr>
          <w:lang w:val="en-GB"/>
        </w:rPr>
        <w:t>; the date of the commencement of such programme is determined by the Rector´s Measure providing</w:t>
      </w:r>
      <w:r w:rsidR="007C3A7E">
        <w:rPr>
          <w:lang w:val="en-GB"/>
        </w:rPr>
        <w:t xml:space="preserve"> for</w:t>
      </w:r>
      <w:r w:rsidR="007C3A7E" w:rsidRPr="007C3A7E">
        <w:rPr>
          <w:lang w:val="en-GB"/>
        </w:rPr>
        <w:t xml:space="preserve"> the schedule of the admissions procedure where such programme is designated as “doctoral programmes II”.</w:t>
      </w:r>
    </w:p>
  </w:footnote>
  <w:footnote w:id="2">
    <w:p w:rsidR="004C6B2B" w:rsidRPr="00C1377B" w:rsidRDefault="004C6B2B" w:rsidP="004C6B2B">
      <w:pPr>
        <w:pStyle w:val="Textpoznpodarou"/>
        <w:rPr>
          <w:rFonts w:ascii="Times New Roman" w:hAnsi="Times New Roman" w:cs="Times New Roman"/>
          <w:lang w:val="en-GB"/>
        </w:rPr>
      </w:pPr>
      <w:r w:rsidRPr="00E829B2">
        <w:rPr>
          <w:rStyle w:val="Znakapoznpodarou"/>
          <w:rFonts w:ascii="Times New Roman" w:hAnsi="Times New Roman" w:cs="Times New Roman"/>
          <w:lang w:val="en-GB"/>
        </w:rPr>
        <w:footnoteRef/>
      </w:r>
      <w:r w:rsidRPr="00E829B2">
        <w:rPr>
          <w:rFonts w:ascii="Times New Roman" w:hAnsi="Times New Roman" w:cs="Times New Roman"/>
          <w:vertAlign w:val="superscript"/>
          <w:lang w:val="en-GB"/>
        </w:rPr>
        <w:t>)</w:t>
      </w:r>
      <w:r w:rsidR="00E829B2" w:rsidRPr="00E829B2">
        <w:rPr>
          <w:rFonts w:ascii="Times New Roman" w:hAnsi="Times New Roman" w:cs="Times New Roman"/>
          <w:lang w:val="en-GB"/>
        </w:rPr>
        <w:t xml:space="preserve"> S</w:t>
      </w:r>
      <w:r w:rsidR="00C1377B">
        <w:rPr>
          <w:rFonts w:ascii="Times New Roman" w:hAnsi="Times New Roman" w:cs="Times New Roman"/>
          <w:lang w:val="en-GB"/>
        </w:rPr>
        <w:t>s. 3</w:t>
      </w:r>
      <w:r w:rsidR="00E829B2" w:rsidRPr="00E829B2">
        <w:rPr>
          <w:rFonts w:ascii="Times New Roman" w:hAnsi="Times New Roman" w:cs="Times New Roman"/>
          <w:lang w:val="en-GB"/>
        </w:rPr>
        <w:t>7 (</w:t>
      </w:r>
      <w:r w:rsidRPr="00E829B2">
        <w:rPr>
          <w:rFonts w:ascii="Times New Roman" w:hAnsi="Times New Roman" w:cs="Times New Roman"/>
          <w:lang w:val="en-GB"/>
        </w:rPr>
        <w:t>2</w:t>
      </w:r>
      <w:r w:rsidR="00E829B2" w:rsidRPr="00E829B2">
        <w:rPr>
          <w:rFonts w:ascii="Times New Roman" w:hAnsi="Times New Roman" w:cs="Times New Roman"/>
          <w:lang w:val="en-GB"/>
        </w:rPr>
        <w:t>)</w:t>
      </w:r>
      <w:r w:rsidRPr="00E829B2">
        <w:rPr>
          <w:rFonts w:ascii="Times New Roman" w:hAnsi="Times New Roman" w:cs="Times New Roman"/>
          <w:lang w:val="en-GB"/>
        </w:rPr>
        <w:t xml:space="preserve"> a</w:t>
      </w:r>
      <w:r w:rsidR="00E829B2" w:rsidRPr="00E829B2">
        <w:rPr>
          <w:rFonts w:ascii="Times New Roman" w:hAnsi="Times New Roman" w:cs="Times New Roman"/>
          <w:lang w:val="en-GB"/>
        </w:rPr>
        <w:t xml:space="preserve">nd </w:t>
      </w:r>
      <w:r w:rsidRPr="00E829B2">
        <w:rPr>
          <w:rFonts w:ascii="Times New Roman" w:hAnsi="Times New Roman" w:cs="Times New Roman"/>
          <w:lang w:val="en-GB"/>
        </w:rPr>
        <w:t xml:space="preserve">82 </w:t>
      </w:r>
      <w:r w:rsidR="00E829B2" w:rsidRPr="00E829B2">
        <w:rPr>
          <w:rFonts w:ascii="Times New Roman" w:hAnsi="Times New Roman" w:cs="Times New Roman"/>
          <w:lang w:val="en-GB"/>
        </w:rPr>
        <w:t>(</w:t>
      </w:r>
      <w:r w:rsidRPr="00E829B2">
        <w:rPr>
          <w:rFonts w:ascii="Times New Roman" w:hAnsi="Times New Roman" w:cs="Times New Roman"/>
          <w:lang w:val="en-GB"/>
        </w:rPr>
        <w:t>2</w:t>
      </w:r>
      <w:r w:rsidR="00E829B2" w:rsidRPr="00E829B2">
        <w:rPr>
          <w:rFonts w:ascii="Times New Roman" w:hAnsi="Times New Roman" w:cs="Times New Roman"/>
          <w:lang w:val="en-GB"/>
        </w:rPr>
        <w:t>)</w:t>
      </w:r>
      <w:r w:rsidRPr="00E829B2">
        <w:rPr>
          <w:rFonts w:ascii="Times New Roman" w:hAnsi="Times New Roman" w:cs="Times New Roman"/>
          <w:lang w:val="en-GB"/>
        </w:rPr>
        <w:t xml:space="preserve"> </w:t>
      </w:r>
      <w:r w:rsidR="00E829B2" w:rsidRPr="00E829B2">
        <w:rPr>
          <w:rFonts w:ascii="Times New Roman" w:hAnsi="Times New Roman" w:cs="Times New Roman"/>
          <w:lang w:val="en-GB"/>
        </w:rPr>
        <w:t xml:space="preserve">of </w:t>
      </w:r>
      <w:r w:rsidR="00E829B2" w:rsidRPr="00C1377B">
        <w:rPr>
          <w:rFonts w:ascii="Times New Roman" w:hAnsi="Times New Roman" w:cs="Times New Roman"/>
          <w:lang w:val="en-GB"/>
        </w:rPr>
        <w:t xml:space="preserve">the </w:t>
      </w:r>
      <w:r w:rsidR="00E220F2" w:rsidRPr="00C1377B">
        <w:rPr>
          <w:rFonts w:ascii="Times New Roman" w:hAnsi="Times New Roman" w:cs="Times New Roman"/>
          <w:lang w:val="en-GB"/>
        </w:rPr>
        <w:t>Administrative Procedure Code</w:t>
      </w:r>
      <w:r w:rsidR="00E829B2" w:rsidRPr="00C1377B">
        <w:rPr>
          <w:rFonts w:ascii="Times New Roman" w:hAnsi="Times New Roman" w:cs="Times New Roman"/>
          <w:lang w:val="en-GB"/>
        </w:rPr>
        <w:t>.</w:t>
      </w:r>
    </w:p>
  </w:footnote>
  <w:footnote w:id="3">
    <w:p w:rsidR="004C6B2B" w:rsidRPr="00E829B2" w:rsidRDefault="004C6B2B" w:rsidP="004C6B2B">
      <w:pPr>
        <w:pStyle w:val="Textpoznpodarou"/>
        <w:rPr>
          <w:rFonts w:ascii="Times New Roman" w:hAnsi="Times New Roman" w:cs="Times New Roman"/>
          <w:lang w:val="en-GB"/>
        </w:rPr>
      </w:pPr>
      <w:r w:rsidRPr="00C1377B">
        <w:rPr>
          <w:rStyle w:val="Znakapoznpodarou"/>
          <w:rFonts w:ascii="Times New Roman" w:hAnsi="Times New Roman" w:cs="Times New Roman"/>
          <w:lang w:val="en-GB"/>
        </w:rPr>
        <w:footnoteRef/>
      </w:r>
      <w:r w:rsidRPr="00C1377B">
        <w:rPr>
          <w:rFonts w:ascii="Times New Roman" w:hAnsi="Times New Roman" w:cs="Times New Roman"/>
          <w:vertAlign w:val="superscript"/>
          <w:lang w:val="en-GB"/>
        </w:rPr>
        <w:t>)</w:t>
      </w:r>
      <w:r w:rsidR="00E829B2" w:rsidRPr="00C1377B">
        <w:rPr>
          <w:rFonts w:ascii="Times New Roman" w:hAnsi="Times New Roman" w:cs="Times New Roman"/>
          <w:lang w:val="en-GB"/>
        </w:rPr>
        <w:t xml:space="preserve"> S</w:t>
      </w:r>
      <w:r w:rsidR="00C1377B">
        <w:rPr>
          <w:rFonts w:ascii="Times New Roman" w:hAnsi="Times New Roman" w:cs="Times New Roman"/>
          <w:lang w:val="en-GB"/>
        </w:rPr>
        <w:t>.</w:t>
      </w:r>
      <w:r w:rsidRPr="00C1377B">
        <w:rPr>
          <w:rFonts w:ascii="Times New Roman" w:hAnsi="Times New Roman" w:cs="Times New Roman"/>
          <w:lang w:val="en-GB"/>
        </w:rPr>
        <w:t xml:space="preserve"> 40 </w:t>
      </w:r>
      <w:r w:rsidR="00E829B2" w:rsidRPr="00C1377B">
        <w:rPr>
          <w:rFonts w:ascii="Times New Roman" w:hAnsi="Times New Roman" w:cs="Times New Roman"/>
          <w:lang w:val="en-GB"/>
        </w:rPr>
        <w:t xml:space="preserve">of the </w:t>
      </w:r>
      <w:r w:rsidR="00E220F2" w:rsidRPr="00C1377B">
        <w:rPr>
          <w:rFonts w:ascii="Times New Roman" w:hAnsi="Times New Roman" w:cs="Times New Roman"/>
          <w:lang w:val="en-GB"/>
        </w:rPr>
        <w:t>Administrative Procedure Code</w:t>
      </w:r>
      <w:r w:rsidRPr="00C1377B">
        <w:rPr>
          <w:rFonts w:ascii="Times New Roman" w:hAnsi="Times New Roman" w:cs="Times New Roman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B23"/>
    <w:multiLevelType w:val="hybridMultilevel"/>
    <w:tmpl w:val="2E52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06BE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B643A"/>
    <w:multiLevelType w:val="hybridMultilevel"/>
    <w:tmpl w:val="BB16E1B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F1667F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37C94"/>
    <w:multiLevelType w:val="hybridMultilevel"/>
    <w:tmpl w:val="B3F8C2F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0F">
      <w:start w:val="1"/>
      <w:numFmt w:val="decimal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D2314F"/>
    <w:multiLevelType w:val="hybridMultilevel"/>
    <w:tmpl w:val="6B7043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2E7465"/>
    <w:multiLevelType w:val="hybridMultilevel"/>
    <w:tmpl w:val="3F18F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B6AD8"/>
    <w:multiLevelType w:val="hybridMultilevel"/>
    <w:tmpl w:val="127EAEBC"/>
    <w:lvl w:ilvl="0" w:tplc="06EAA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F3FAB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878AA"/>
    <w:multiLevelType w:val="multilevel"/>
    <w:tmpl w:val="3BCE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50239"/>
    <w:multiLevelType w:val="multilevel"/>
    <w:tmpl w:val="DE26F4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69F66BC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E7A48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B463E"/>
    <w:multiLevelType w:val="multilevel"/>
    <w:tmpl w:val="F814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F51FA"/>
    <w:multiLevelType w:val="multilevel"/>
    <w:tmpl w:val="DAC08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72B91"/>
    <w:multiLevelType w:val="hybridMultilevel"/>
    <w:tmpl w:val="050841F0"/>
    <w:lvl w:ilvl="0" w:tplc="E94244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61D62"/>
    <w:multiLevelType w:val="hybridMultilevel"/>
    <w:tmpl w:val="8012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67FB4"/>
    <w:multiLevelType w:val="multilevel"/>
    <w:tmpl w:val="DE26F4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F5C6B61"/>
    <w:multiLevelType w:val="multilevel"/>
    <w:tmpl w:val="3BCE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16DD4"/>
    <w:multiLevelType w:val="hybridMultilevel"/>
    <w:tmpl w:val="0BF03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702091"/>
    <w:multiLevelType w:val="hybridMultilevel"/>
    <w:tmpl w:val="2878CA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55BF"/>
    <w:multiLevelType w:val="hybridMultilevel"/>
    <w:tmpl w:val="1658ADDA"/>
    <w:lvl w:ilvl="0" w:tplc="245EA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D4DC3"/>
    <w:multiLevelType w:val="hybridMultilevel"/>
    <w:tmpl w:val="4E381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A6442"/>
    <w:multiLevelType w:val="hybridMultilevel"/>
    <w:tmpl w:val="331E8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87245"/>
    <w:multiLevelType w:val="multilevel"/>
    <w:tmpl w:val="366C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F1227"/>
    <w:multiLevelType w:val="multilevel"/>
    <w:tmpl w:val="E314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E250EC0"/>
    <w:multiLevelType w:val="hybridMultilevel"/>
    <w:tmpl w:val="67489D26"/>
    <w:lvl w:ilvl="0" w:tplc="E5605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7049B"/>
    <w:multiLevelType w:val="hybridMultilevel"/>
    <w:tmpl w:val="94E6A6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80AA7"/>
    <w:multiLevelType w:val="hybridMultilevel"/>
    <w:tmpl w:val="34F63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46B3C"/>
    <w:multiLevelType w:val="hybridMultilevel"/>
    <w:tmpl w:val="1A6E6ABC"/>
    <w:lvl w:ilvl="0" w:tplc="17184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E323E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458B0"/>
    <w:multiLevelType w:val="hybridMultilevel"/>
    <w:tmpl w:val="1C8C9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E40F5"/>
    <w:multiLevelType w:val="hybridMultilevel"/>
    <w:tmpl w:val="943406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9917D5"/>
    <w:multiLevelType w:val="hybridMultilevel"/>
    <w:tmpl w:val="34F63D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5665F6"/>
    <w:multiLevelType w:val="multilevel"/>
    <w:tmpl w:val="2170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7D35372D"/>
    <w:multiLevelType w:val="hybridMultilevel"/>
    <w:tmpl w:val="180E4DE8"/>
    <w:lvl w:ilvl="0" w:tplc="0AC0C5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6"/>
  </w:num>
  <w:num w:numId="5">
    <w:abstractNumId w:val="5"/>
  </w:num>
  <w:num w:numId="6">
    <w:abstractNumId w:val="27"/>
  </w:num>
  <w:num w:numId="7">
    <w:abstractNumId w:val="7"/>
  </w:num>
  <w:num w:numId="8">
    <w:abstractNumId w:val="17"/>
  </w:num>
  <w:num w:numId="9">
    <w:abstractNumId w:val="10"/>
  </w:num>
  <w:num w:numId="10">
    <w:abstractNumId w:val="24"/>
  </w:num>
  <w:num w:numId="11">
    <w:abstractNumId w:val="18"/>
  </w:num>
  <w:num w:numId="12">
    <w:abstractNumId w:val="15"/>
  </w:num>
  <w:num w:numId="13">
    <w:abstractNumId w:val="25"/>
  </w:num>
  <w:num w:numId="14">
    <w:abstractNumId w:val="9"/>
  </w:num>
  <w:num w:numId="15">
    <w:abstractNumId w:val="23"/>
  </w:num>
  <w:num w:numId="16">
    <w:abstractNumId w:val="0"/>
  </w:num>
  <w:num w:numId="17">
    <w:abstractNumId w:val="33"/>
  </w:num>
  <w:num w:numId="18">
    <w:abstractNumId w:val="34"/>
  </w:num>
  <w:num w:numId="19">
    <w:abstractNumId w:val="13"/>
  </w:num>
  <w:num w:numId="20">
    <w:abstractNumId w:val="28"/>
  </w:num>
  <w:num w:numId="21">
    <w:abstractNumId w:val="32"/>
  </w:num>
  <w:num w:numId="22">
    <w:abstractNumId w:val="19"/>
  </w:num>
  <w:num w:numId="23">
    <w:abstractNumId w:val="31"/>
  </w:num>
  <w:num w:numId="24">
    <w:abstractNumId w:val="16"/>
  </w:num>
  <w:num w:numId="25">
    <w:abstractNumId w:val="35"/>
  </w:num>
  <w:num w:numId="26">
    <w:abstractNumId w:val="21"/>
  </w:num>
  <w:num w:numId="27">
    <w:abstractNumId w:val="26"/>
  </w:num>
  <w:num w:numId="28">
    <w:abstractNumId w:val="29"/>
  </w:num>
  <w:num w:numId="29">
    <w:abstractNumId w:val="1"/>
  </w:num>
  <w:num w:numId="30">
    <w:abstractNumId w:val="8"/>
  </w:num>
  <w:num w:numId="31">
    <w:abstractNumId w:val="11"/>
  </w:num>
  <w:num w:numId="32">
    <w:abstractNumId w:val="30"/>
  </w:num>
  <w:num w:numId="33">
    <w:abstractNumId w:val="3"/>
  </w:num>
  <w:num w:numId="34">
    <w:abstractNumId w:val="12"/>
  </w:num>
  <w:num w:numId="35">
    <w:abstractNumId w:val="2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667"/>
    <w:rsid w:val="000007A0"/>
    <w:rsid w:val="0000307C"/>
    <w:rsid w:val="00003508"/>
    <w:rsid w:val="00064FC8"/>
    <w:rsid w:val="00076305"/>
    <w:rsid w:val="000767AE"/>
    <w:rsid w:val="000C1897"/>
    <w:rsid w:val="000C3B9B"/>
    <w:rsid w:val="000D7962"/>
    <w:rsid w:val="000E2C51"/>
    <w:rsid w:val="000F2060"/>
    <w:rsid w:val="001064D1"/>
    <w:rsid w:val="00117D91"/>
    <w:rsid w:val="00136E11"/>
    <w:rsid w:val="00161643"/>
    <w:rsid w:val="00166C3B"/>
    <w:rsid w:val="00167B8D"/>
    <w:rsid w:val="001735DC"/>
    <w:rsid w:val="001739AC"/>
    <w:rsid w:val="00187156"/>
    <w:rsid w:val="001A686A"/>
    <w:rsid w:val="001B5A8F"/>
    <w:rsid w:val="001C5F99"/>
    <w:rsid w:val="001F6258"/>
    <w:rsid w:val="002253A1"/>
    <w:rsid w:val="002305DB"/>
    <w:rsid w:val="002423F7"/>
    <w:rsid w:val="00245F73"/>
    <w:rsid w:val="00261515"/>
    <w:rsid w:val="00270D58"/>
    <w:rsid w:val="00281E39"/>
    <w:rsid w:val="002929EB"/>
    <w:rsid w:val="002A0F8A"/>
    <w:rsid w:val="002A31D2"/>
    <w:rsid w:val="002A7532"/>
    <w:rsid w:val="002A7E78"/>
    <w:rsid w:val="002B3514"/>
    <w:rsid w:val="002C33D9"/>
    <w:rsid w:val="002C465A"/>
    <w:rsid w:val="002C5AAA"/>
    <w:rsid w:val="002D6243"/>
    <w:rsid w:val="002F0474"/>
    <w:rsid w:val="00314656"/>
    <w:rsid w:val="003342CB"/>
    <w:rsid w:val="00344174"/>
    <w:rsid w:val="00363FC3"/>
    <w:rsid w:val="00373535"/>
    <w:rsid w:val="00374A80"/>
    <w:rsid w:val="003831C3"/>
    <w:rsid w:val="003879C2"/>
    <w:rsid w:val="003A6833"/>
    <w:rsid w:val="003D1265"/>
    <w:rsid w:val="003E7630"/>
    <w:rsid w:val="003F576F"/>
    <w:rsid w:val="00425707"/>
    <w:rsid w:val="00426107"/>
    <w:rsid w:val="00434191"/>
    <w:rsid w:val="00442D55"/>
    <w:rsid w:val="0044401A"/>
    <w:rsid w:val="004549C3"/>
    <w:rsid w:val="00456FA0"/>
    <w:rsid w:val="0046720C"/>
    <w:rsid w:val="00474C29"/>
    <w:rsid w:val="00483B06"/>
    <w:rsid w:val="00495318"/>
    <w:rsid w:val="00495426"/>
    <w:rsid w:val="004C0688"/>
    <w:rsid w:val="004C6B2B"/>
    <w:rsid w:val="004C6DD7"/>
    <w:rsid w:val="004F621B"/>
    <w:rsid w:val="004F7AE0"/>
    <w:rsid w:val="00501452"/>
    <w:rsid w:val="00503806"/>
    <w:rsid w:val="005108B7"/>
    <w:rsid w:val="00513247"/>
    <w:rsid w:val="00521D47"/>
    <w:rsid w:val="0052305E"/>
    <w:rsid w:val="00523499"/>
    <w:rsid w:val="0054295F"/>
    <w:rsid w:val="0054332A"/>
    <w:rsid w:val="00546361"/>
    <w:rsid w:val="00546C5F"/>
    <w:rsid w:val="0055068E"/>
    <w:rsid w:val="00557097"/>
    <w:rsid w:val="005611A1"/>
    <w:rsid w:val="00563CBE"/>
    <w:rsid w:val="00564690"/>
    <w:rsid w:val="00573DA9"/>
    <w:rsid w:val="00585AEB"/>
    <w:rsid w:val="00585F81"/>
    <w:rsid w:val="005A4925"/>
    <w:rsid w:val="005B0D88"/>
    <w:rsid w:val="005B504A"/>
    <w:rsid w:val="005B6EFC"/>
    <w:rsid w:val="005C7E67"/>
    <w:rsid w:val="005D3143"/>
    <w:rsid w:val="005E4153"/>
    <w:rsid w:val="005E5FBA"/>
    <w:rsid w:val="00612532"/>
    <w:rsid w:val="006309E2"/>
    <w:rsid w:val="006362C1"/>
    <w:rsid w:val="006554B2"/>
    <w:rsid w:val="00680FC3"/>
    <w:rsid w:val="0069037E"/>
    <w:rsid w:val="006B327C"/>
    <w:rsid w:val="006F584F"/>
    <w:rsid w:val="00711C9E"/>
    <w:rsid w:val="007123D8"/>
    <w:rsid w:val="007303AE"/>
    <w:rsid w:val="007424B7"/>
    <w:rsid w:val="00743B7B"/>
    <w:rsid w:val="00744133"/>
    <w:rsid w:val="00745A9D"/>
    <w:rsid w:val="00755220"/>
    <w:rsid w:val="007639E1"/>
    <w:rsid w:val="007655A6"/>
    <w:rsid w:val="0076724B"/>
    <w:rsid w:val="00773CDC"/>
    <w:rsid w:val="007856FC"/>
    <w:rsid w:val="007A27DF"/>
    <w:rsid w:val="007B402E"/>
    <w:rsid w:val="007B61C3"/>
    <w:rsid w:val="007C0F26"/>
    <w:rsid w:val="007C3A7E"/>
    <w:rsid w:val="007D1029"/>
    <w:rsid w:val="007D224D"/>
    <w:rsid w:val="008274FD"/>
    <w:rsid w:val="00830931"/>
    <w:rsid w:val="008330D4"/>
    <w:rsid w:val="008334DE"/>
    <w:rsid w:val="00851820"/>
    <w:rsid w:val="0085269D"/>
    <w:rsid w:val="008578E3"/>
    <w:rsid w:val="00873FD3"/>
    <w:rsid w:val="008915A7"/>
    <w:rsid w:val="00891A08"/>
    <w:rsid w:val="0089366E"/>
    <w:rsid w:val="00895969"/>
    <w:rsid w:val="008977FB"/>
    <w:rsid w:val="008B0E61"/>
    <w:rsid w:val="008D3122"/>
    <w:rsid w:val="008E31C5"/>
    <w:rsid w:val="00934C9F"/>
    <w:rsid w:val="00965A3C"/>
    <w:rsid w:val="00965F1A"/>
    <w:rsid w:val="0096626C"/>
    <w:rsid w:val="0098394A"/>
    <w:rsid w:val="00996826"/>
    <w:rsid w:val="009A4855"/>
    <w:rsid w:val="009E0444"/>
    <w:rsid w:val="009E1FE8"/>
    <w:rsid w:val="009E2D94"/>
    <w:rsid w:val="009F11E3"/>
    <w:rsid w:val="009F1605"/>
    <w:rsid w:val="009F53D1"/>
    <w:rsid w:val="00A07302"/>
    <w:rsid w:val="00A215AD"/>
    <w:rsid w:val="00A32AF4"/>
    <w:rsid w:val="00A34A61"/>
    <w:rsid w:val="00A42387"/>
    <w:rsid w:val="00A44310"/>
    <w:rsid w:val="00A571E5"/>
    <w:rsid w:val="00A60CC9"/>
    <w:rsid w:val="00A815CA"/>
    <w:rsid w:val="00AA41C5"/>
    <w:rsid w:val="00AB42ED"/>
    <w:rsid w:val="00AC316B"/>
    <w:rsid w:val="00AD2880"/>
    <w:rsid w:val="00AF0684"/>
    <w:rsid w:val="00AF3505"/>
    <w:rsid w:val="00AF5B5C"/>
    <w:rsid w:val="00B23E61"/>
    <w:rsid w:val="00B25343"/>
    <w:rsid w:val="00B421AE"/>
    <w:rsid w:val="00B66BF7"/>
    <w:rsid w:val="00B67AEA"/>
    <w:rsid w:val="00B81BEC"/>
    <w:rsid w:val="00B967EA"/>
    <w:rsid w:val="00BA0B9B"/>
    <w:rsid w:val="00BB0453"/>
    <w:rsid w:val="00BB0597"/>
    <w:rsid w:val="00BB12CB"/>
    <w:rsid w:val="00BC6ACC"/>
    <w:rsid w:val="00C1377B"/>
    <w:rsid w:val="00C24637"/>
    <w:rsid w:val="00C35601"/>
    <w:rsid w:val="00C37A83"/>
    <w:rsid w:val="00C41F97"/>
    <w:rsid w:val="00C51F8B"/>
    <w:rsid w:val="00C52D1B"/>
    <w:rsid w:val="00C5632C"/>
    <w:rsid w:val="00CA0706"/>
    <w:rsid w:val="00CA1709"/>
    <w:rsid w:val="00CB01CA"/>
    <w:rsid w:val="00CB45C7"/>
    <w:rsid w:val="00CE278C"/>
    <w:rsid w:val="00CF5C18"/>
    <w:rsid w:val="00D0411C"/>
    <w:rsid w:val="00D05449"/>
    <w:rsid w:val="00D152AC"/>
    <w:rsid w:val="00D2218B"/>
    <w:rsid w:val="00D2467A"/>
    <w:rsid w:val="00D2793A"/>
    <w:rsid w:val="00D302A9"/>
    <w:rsid w:val="00D332BD"/>
    <w:rsid w:val="00D340A8"/>
    <w:rsid w:val="00D41DA6"/>
    <w:rsid w:val="00D5584E"/>
    <w:rsid w:val="00D83AC4"/>
    <w:rsid w:val="00D96732"/>
    <w:rsid w:val="00DB5F5D"/>
    <w:rsid w:val="00DC1F35"/>
    <w:rsid w:val="00DC33A2"/>
    <w:rsid w:val="00DD222D"/>
    <w:rsid w:val="00DD617E"/>
    <w:rsid w:val="00DE536E"/>
    <w:rsid w:val="00DE67FE"/>
    <w:rsid w:val="00DF010B"/>
    <w:rsid w:val="00E01C0E"/>
    <w:rsid w:val="00E0636B"/>
    <w:rsid w:val="00E07C23"/>
    <w:rsid w:val="00E21979"/>
    <w:rsid w:val="00E220F2"/>
    <w:rsid w:val="00E33AB0"/>
    <w:rsid w:val="00E369F5"/>
    <w:rsid w:val="00E47D46"/>
    <w:rsid w:val="00E50F4D"/>
    <w:rsid w:val="00E65657"/>
    <w:rsid w:val="00E829B2"/>
    <w:rsid w:val="00E82E18"/>
    <w:rsid w:val="00E96B1E"/>
    <w:rsid w:val="00EA0897"/>
    <w:rsid w:val="00EB1897"/>
    <w:rsid w:val="00EC5F62"/>
    <w:rsid w:val="00ED4E51"/>
    <w:rsid w:val="00EE0F5D"/>
    <w:rsid w:val="00EE3D1F"/>
    <w:rsid w:val="00F056B2"/>
    <w:rsid w:val="00F05D9D"/>
    <w:rsid w:val="00F12C35"/>
    <w:rsid w:val="00F162E6"/>
    <w:rsid w:val="00F20544"/>
    <w:rsid w:val="00F27667"/>
    <w:rsid w:val="00F627B1"/>
    <w:rsid w:val="00F90300"/>
    <w:rsid w:val="00F96192"/>
    <w:rsid w:val="00F97184"/>
    <w:rsid w:val="00FB6DC3"/>
    <w:rsid w:val="00FC1E30"/>
    <w:rsid w:val="00FC3F63"/>
    <w:rsid w:val="00FC5971"/>
    <w:rsid w:val="00FC6370"/>
    <w:rsid w:val="00FD17A8"/>
    <w:rsid w:val="00FD783F"/>
    <w:rsid w:val="00FE1EC9"/>
    <w:rsid w:val="00FE454A"/>
    <w:rsid w:val="00FF0F4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0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F2766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276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766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27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66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A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A6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6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6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6FC"/>
    <w:rPr>
      <w:vertAlign w:val="superscript"/>
    </w:rPr>
  </w:style>
  <w:style w:type="paragraph" w:styleId="Revize">
    <w:name w:val="Revision"/>
    <w:hidden/>
    <w:uiPriority w:val="99"/>
    <w:semiHidden/>
    <w:rsid w:val="000007A0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295F"/>
  </w:style>
  <w:style w:type="paragraph" w:styleId="Zpat">
    <w:name w:val="footer"/>
    <w:basedOn w:val="Normln"/>
    <w:link w:val="Zpat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5F"/>
  </w:style>
  <w:style w:type="character" w:styleId="slostrnky">
    <w:name w:val="page number"/>
    <w:basedOn w:val="Standardnpsmoodstavce"/>
    <w:uiPriority w:val="99"/>
    <w:semiHidden/>
    <w:unhideWhenUsed/>
    <w:rsid w:val="000C1897"/>
  </w:style>
  <w:style w:type="character" w:styleId="Siln">
    <w:name w:val="Strong"/>
    <w:basedOn w:val="Standardnpsmoodstavce"/>
    <w:uiPriority w:val="22"/>
    <w:qFormat/>
    <w:rsid w:val="00FB6D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F2766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276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766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27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66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A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A6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6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6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6FC"/>
    <w:rPr>
      <w:vertAlign w:val="superscript"/>
    </w:rPr>
  </w:style>
  <w:style w:type="paragraph" w:styleId="Revize">
    <w:name w:val="Revision"/>
    <w:hidden/>
    <w:uiPriority w:val="99"/>
    <w:semiHidden/>
    <w:rsid w:val="000007A0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295F"/>
  </w:style>
  <w:style w:type="paragraph" w:styleId="Zpat">
    <w:name w:val="footer"/>
    <w:basedOn w:val="Normln"/>
    <w:link w:val="Zpat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5F"/>
  </w:style>
  <w:style w:type="character" w:styleId="slostrnky">
    <w:name w:val="page number"/>
    <w:basedOn w:val="Standardnpsmoodstavce"/>
    <w:uiPriority w:val="99"/>
    <w:semiHidden/>
    <w:unhideWhenUsed/>
    <w:rsid w:val="000C1897"/>
  </w:style>
  <w:style w:type="character" w:styleId="Siln">
    <w:name w:val="Strong"/>
    <w:basedOn w:val="Standardnpsmoodstavce"/>
    <w:uiPriority w:val="22"/>
    <w:qFormat/>
    <w:rsid w:val="00FB6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93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7905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DDD5C1FD-6AE6-4E6A-8A16-CAF6EDAF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BC84E80D.dotm</Template>
  <TotalTime>0</TotalTime>
  <Pages>5</Pages>
  <Words>1327</Words>
  <Characters>7835</Characters>
  <Application>Microsoft Office Word</Application>
  <DocSecurity>0</DocSecurity>
  <Lines>65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Univerzita Karlova v Praze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2016-12-16T06:27:00Z</cp:lastPrinted>
  <dcterms:created xsi:type="dcterms:W3CDTF">2019-04-04T06:35:00Z</dcterms:created>
  <dcterms:modified xsi:type="dcterms:W3CDTF">2019-04-04T06:35:00Z</dcterms:modified>
</cp:coreProperties>
</file>